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ШПАКОВСКОГО МУНИЦИПАЛЬНОГО РАЙОНА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СТАВРОПОЛЬСКОГО КРАЯ </w:t>
      </w:r>
      <w:r w:rsidR="001608C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ЧЕТВЕРТОГО</w:t>
      </w: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СОЗЫВА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>Р Е Ш Е Н И Е</w:t>
      </w:r>
    </w:p>
    <w:p w:rsid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03DE" w:rsidRPr="00257102" w:rsidTr="00AF74B5">
        <w:tc>
          <w:tcPr>
            <w:tcW w:w="3285" w:type="dxa"/>
            <w:shd w:val="clear" w:color="auto" w:fill="auto"/>
          </w:tcPr>
          <w:p w:rsidR="00D403DE" w:rsidRPr="00257102" w:rsidRDefault="00D403DE" w:rsidP="00AF74B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02">
              <w:rPr>
                <w:rFonts w:ascii="Times New Roman" w:hAnsi="Times New Roman" w:cs="Times New Roman"/>
                <w:sz w:val="28"/>
                <w:szCs w:val="28"/>
              </w:rPr>
              <w:t>25 октября 2019 года</w:t>
            </w:r>
          </w:p>
        </w:tc>
        <w:tc>
          <w:tcPr>
            <w:tcW w:w="3285" w:type="dxa"/>
            <w:shd w:val="clear" w:color="auto" w:fill="auto"/>
          </w:tcPr>
          <w:p w:rsidR="00D403DE" w:rsidRPr="00257102" w:rsidRDefault="00D403DE" w:rsidP="00AF74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102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D403DE" w:rsidRPr="00257102" w:rsidRDefault="00D403DE" w:rsidP="00D403D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102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403DE" w:rsidRPr="00F50A83" w:rsidRDefault="00D403DE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AC5D1E" w:rsidP="00F50A8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="0001392C" w:rsidRPr="0001392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системах оплаты труда работников органов местного самоуправления Шпаковского муниципального района Ставропольского края, осуществляющих профессиональную деятельность по профессиям рабочих</w:t>
      </w:r>
    </w:p>
    <w:p w:rsid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6545E" w:rsidRPr="00F50A83" w:rsidRDefault="00E6545E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Default="00F50A83" w:rsidP="00AC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392C" w:rsidRPr="0001392C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8" w:history="1">
        <w:r w:rsidR="0001392C" w:rsidRPr="0001392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1392C" w:rsidRPr="0001392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="0001392C" w:rsidRPr="0001392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1392C" w:rsidRPr="0001392C">
        <w:rPr>
          <w:rFonts w:ascii="Times New Roman" w:hAnsi="Times New Roman" w:cs="Times New Roman"/>
          <w:sz w:val="28"/>
          <w:szCs w:val="28"/>
        </w:rPr>
        <w:t xml:space="preserve"> Правительства Ставроп</w:t>
      </w:r>
      <w:r w:rsidR="00C10B56">
        <w:rPr>
          <w:rFonts w:ascii="Times New Roman" w:hAnsi="Times New Roman" w:cs="Times New Roman"/>
          <w:sz w:val="28"/>
          <w:szCs w:val="28"/>
        </w:rPr>
        <w:t>ольского края от 18 марта 2009 года</w:t>
      </w:r>
      <w:r w:rsidR="0001392C" w:rsidRPr="0001392C">
        <w:rPr>
          <w:rFonts w:ascii="Times New Roman" w:hAnsi="Times New Roman" w:cs="Times New Roman"/>
          <w:sz w:val="28"/>
          <w:szCs w:val="28"/>
        </w:rPr>
        <w:t xml:space="preserve"> </w:t>
      </w:r>
      <w:r w:rsidR="00C10B56">
        <w:rPr>
          <w:rFonts w:ascii="Times New Roman" w:hAnsi="Times New Roman" w:cs="Times New Roman"/>
          <w:sz w:val="28"/>
          <w:szCs w:val="28"/>
        </w:rPr>
        <w:t xml:space="preserve">       </w:t>
      </w:r>
      <w:r w:rsidR="0001392C">
        <w:rPr>
          <w:rFonts w:ascii="Times New Roman" w:hAnsi="Times New Roman" w:cs="Times New Roman"/>
          <w:sz w:val="28"/>
          <w:szCs w:val="28"/>
        </w:rPr>
        <w:t>№</w:t>
      </w:r>
      <w:r w:rsidR="00C10B56">
        <w:rPr>
          <w:rFonts w:ascii="Times New Roman" w:hAnsi="Times New Roman" w:cs="Times New Roman"/>
          <w:sz w:val="28"/>
          <w:szCs w:val="28"/>
        </w:rPr>
        <w:t xml:space="preserve"> </w:t>
      </w:r>
      <w:r w:rsidR="0001392C" w:rsidRPr="0001392C">
        <w:rPr>
          <w:rFonts w:ascii="Times New Roman" w:hAnsi="Times New Roman" w:cs="Times New Roman"/>
          <w:sz w:val="28"/>
          <w:szCs w:val="28"/>
        </w:rPr>
        <w:t xml:space="preserve">81-п </w:t>
      </w:r>
      <w:r w:rsidR="0001392C">
        <w:rPr>
          <w:rFonts w:ascii="Times New Roman" w:hAnsi="Times New Roman" w:cs="Times New Roman"/>
          <w:sz w:val="28"/>
          <w:szCs w:val="28"/>
        </w:rPr>
        <w:t>«</w:t>
      </w:r>
      <w:r w:rsidR="0001392C" w:rsidRPr="0001392C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</w:t>
      </w:r>
      <w:r w:rsidR="0001392C">
        <w:rPr>
          <w:rFonts w:ascii="Times New Roman" w:hAnsi="Times New Roman" w:cs="Times New Roman"/>
          <w:sz w:val="28"/>
          <w:szCs w:val="28"/>
        </w:rPr>
        <w:t>»</w:t>
      </w:r>
      <w:r w:rsidR="00A67523">
        <w:rPr>
          <w:rFonts w:ascii="Times New Roman" w:hAnsi="Times New Roman" w:cs="Times New Roman"/>
          <w:sz w:val="28"/>
          <w:szCs w:val="28"/>
        </w:rPr>
        <w:t xml:space="preserve">, </w:t>
      </w:r>
      <w:r w:rsidRPr="00AC5D1E">
        <w:rPr>
          <w:rFonts w:ascii="Times New Roman" w:hAnsi="Times New Roman" w:cs="Times New Roman"/>
          <w:sz w:val="28"/>
          <w:szCs w:val="28"/>
        </w:rPr>
        <w:t>Уставом Шпаковского муниципальн</w:t>
      </w:r>
      <w:r w:rsidR="0000707E">
        <w:rPr>
          <w:rFonts w:ascii="Times New Roman" w:hAnsi="Times New Roman" w:cs="Times New Roman"/>
          <w:sz w:val="28"/>
          <w:szCs w:val="28"/>
        </w:rPr>
        <w:t>ого района Ставропольского края</w:t>
      </w:r>
      <w:r w:rsidR="001608CB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Pr="00AC5D1E"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</w:t>
      </w:r>
    </w:p>
    <w:p w:rsidR="00D403DE" w:rsidRDefault="00D403DE" w:rsidP="00E6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Default="00F50A83" w:rsidP="00E6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РЕШИЛ:</w:t>
      </w:r>
    </w:p>
    <w:p w:rsidR="00E6545E" w:rsidRDefault="00E6545E" w:rsidP="00E6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608CB" w:rsidRDefault="00E6545E" w:rsidP="00F5353F">
      <w:pPr>
        <w:pStyle w:val="ConsPlusNormal"/>
        <w:ind w:firstLine="708"/>
        <w:jc w:val="both"/>
      </w:pPr>
      <w:r>
        <w:t>1.</w:t>
      </w:r>
      <w:r w:rsidR="00A67523" w:rsidRPr="00F5353F">
        <w:t>Утвердить</w:t>
      </w:r>
      <w:r w:rsidR="0001392C">
        <w:t xml:space="preserve"> прилагаемое</w:t>
      </w:r>
      <w:r w:rsidR="00A67523" w:rsidRPr="00F5353F">
        <w:t xml:space="preserve"> </w:t>
      </w:r>
      <w:r w:rsidR="0001392C" w:rsidRPr="0001392C">
        <w:t>Положение</w:t>
      </w:r>
      <w:r w:rsidR="0001392C">
        <w:t xml:space="preserve"> о системах оплаты труда работников органов местного самоуправления Шпаковского муниципального района Ставропольского края, осуществляющих профессиональную деятельность по профессиям рабочих</w:t>
      </w:r>
      <w:r w:rsidR="001608CB" w:rsidRPr="00F5353F">
        <w:t>.</w:t>
      </w:r>
    </w:p>
    <w:p w:rsidR="00F5353F" w:rsidRPr="00F5353F" w:rsidRDefault="00F5353F" w:rsidP="00F5353F">
      <w:pPr>
        <w:pStyle w:val="ConsPlusNormal"/>
        <w:ind w:firstLine="708"/>
        <w:jc w:val="both"/>
      </w:pPr>
    </w:p>
    <w:p w:rsidR="00665919" w:rsidRDefault="00E6545E" w:rsidP="00F5353F">
      <w:pPr>
        <w:pStyle w:val="ConsPlusNormal"/>
        <w:ind w:firstLine="708"/>
        <w:jc w:val="both"/>
      </w:pPr>
      <w:r>
        <w:t>2.</w:t>
      </w:r>
      <w:r w:rsidR="00F5353F">
        <w:t>Контроль за выполнением настоящего решения возложить на к</w:t>
      </w:r>
      <w:r w:rsidR="00665919" w:rsidRPr="00F5353F">
        <w:t xml:space="preserve">омитет Совета Шпаковского муниципального района Ставропольского края по </w:t>
      </w:r>
      <w:r w:rsidR="00173A21">
        <w:t>бюджету и экономической политике</w:t>
      </w:r>
      <w:r w:rsidR="00F5353F">
        <w:t>.</w:t>
      </w:r>
    </w:p>
    <w:p w:rsidR="0001392C" w:rsidRDefault="0001392C" w:rsidP="00F5353F">
      <w:pPr>
        <w:pStyle w:val="ConsPlusNormal"/>
        <w:ind w:firstLine="708"/>
        <w:jc w:val="both"/>
      </w:pPr>
    </w:p>
    <w:p w:rsidR="00E6545E" w:rsidRDefault="00E6545E" w:rsidP="00E6545E">
      <w:pPr>
        <w:pStyle w:val="ConsPlusNormal"/>
        <w:ind w:firstLine="708"/>
        <w:jc w:val="both"/>
      </w:pPr>
      <w:r>
        <w:t>3.Настоящее решение вступает в силу на следующий день после его официального опубликования и распространяется на правоотношения, во</w:t>
      </w:r>
      <w:r w:rsidR="00D403DE">
        <w:t>зникшие с 01 октября 2019 года.</w:t>
      </w:r>
    </w:p>
    <w:p w:rsidR="00D403DE" w:rsidRPr="00257102" w:rsidRDefault="00D403DE" w:rsidP="00D403DE">
      <w:pPr>
        <w:pStyle w:val="ConsPlusNormal"/>
        <w:jc w:val="both"/>
      </w:pPr>
    </w:p>
    <w:p w:rsidR="00D403DE" w:rsidRPr="00257102" w:rsidRDefault="00D403DE" w:rsidP="00D403DE">
      <w:pPr>
        <w:pStyle w:val="ConsPlusNormal"/>
        <w:jc w:val="both"/>
      </w:pPr>
    </w:p>
    <w:p w:rsidR="00D403DE" w:rsidRPr="00257102" w:rsidRDefault="00D403DE" w:rsidP="00D403DE">
      <w:pPr>
        <w:pStyle w:val="ConsPlusNormal"/>
        <w:jc w:val="both"/>
      </w:pPr>
    </w:p>
    <w:p w:rsidR="00D403DE" w:rsidRPr="00257102" w:rsidRDefault="00D403DE" w:rsidP="00D403DE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5710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403DE" w:rsidRPr="00257102" w:rsidRDefault="00D403DE" w:rsidP="00D403DE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5710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D403DE" w:rsidRPr="00257102" w:rsidRDefault="00D403DE" w:rsidP="00D403DE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57102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257102"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D403DE" w:rsidRPr="00257102" w:rsidRDefault="00D403DE" w:rsidP="00D403DE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DE" w:rsidRPr="00257102" w:rsidRDefault="00D403DE" w:rsidP="00D403DE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DE" w:rsidRPr="00257102" w:rsidRDefault="00D403DE" w:rsidP="00D403DE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DE" w:rsidRPr="00257102" w:rsidRDefault="00D403DE" w:rsidP="00D403DE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710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D403DE" w:rsidRPr="00257102" w:rsidRDefault="00D403DE" w:rsidP="00D403DE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710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D403DE" w:rsidRDefault="00D403DE" w:rsidP="00D403DE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710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257102">
        <w:rPr>
          <w:rFonts w:ascii="Times New Roman" w:eastAsia="Calibri" w:hAnsi="Times New Roman" w:cs="Times New Roman"/>
          <w:sz w:val="28"/>
          <w:szCs w:val="28"/>
        </w:rPr>
        <w:t>С.В.Гультяев</w:t>
      </w:r>
      <w:proofErr w:type="spellEnd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1"/>
      </w:tblGrid>
      <w:tr w:rsidR="00D403DE" w:rsidRPr="00D403DE" w:rsidTr="00AF74B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403DE" w:rsidRPr="00D403DE" w:rsidRDefault="00D403DE" w:rsidP="00D403D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3DE" w:rsidRPr="00D403DE" w:rsidRDefault="00D403DE" w:rsidP="00D403D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3D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D403DE" w:rsidRPr="00D403DE" w:rsidRDefault="00D403DE" w:rsidP="00D403DE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решением Совета Шпаковского муниципального района Ставропольского края</w:t>
            </w:r>
          </w:p>
          <w:p w:rsidR="00D403DE" w:rsidRPr="00D403DE" w:rsidRDefault="00D403DE" w:rsidP="00D403DE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3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25 октября 2019 года № 221</w:t>
            </w:r>
          </w:p>
        </w:tc>
      </w:tr>
    </w:tbl>
    <w:p w:rsidR="00D403DE" w:rsidRDefault="00D403DE" w:rsidP="00D40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3DE" w:rsidRDefault="00D403DE" w:rsidP="00D40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3DE" w:rsidRPr="0019137F" w:rsidRDefault="00D403DE" w:rsidP="00D403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137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403DE" w:rsidRPr="0019137F" w:rsidRDefault="00D403DE" w:rsidP="00D403D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9137F">
        <w:rPr>
          <w:rFonts w:ascii="Times New Roman" w:hAnsi="Times New Roman" w:cs="Times New Roman"/>
          <w:b w:val="0"/>
          <w:sz w:val="28"/>
          <w:szCs w:val="28"/>
        </w:rPr>
        <w:t xml:space="preserve"> системах оплаты труда работников органов местного самоуправления Шпаковского муниципального района Ставропольского края, осуществляющих профессиональную деятельность по профессиям рабочих</w:t>
      </w:r>
    </w:p>
    <w:p w:rsidR="00D403DE" w:rsidRDefault="00D403DE" w:rsidP="00D403DE">
      <w:pPr>
        <w:pStyle w:val="ConsPlusNormal"/>
        <w:ind w:firstLine="709"/>
        <w:jc w:val="both"/>
      </w:pPr>
    </w:p>
    <w:p w:rsidR="00D403DE" w:rsidRPr="00D3613D" w:rsidRDefault="00D403DE" w:rsidP="00D403DE">
      <w:pPr>
        <w:pStyle w:val="ConsPlusNormal"/>
        <w:ind w:firstLine="709"/>
        <w:jc w:val="both"/>
      </w:pPr>
      <w:r>
        <w:t>1.</w:t>
      </w:r>
      <w:r w:rsidRPr="00D3613D">
        <w:t>Системы оплаты труда работников, включающие размеры окладов, выплаты компенсационного характера (далее - компенсационные выплаты) и выплаты стимулирующего характера (далее - стимулирующие выплаты),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а также настоящим Положением.</w:t>
      </w:r>
    </w:p>
    <w:p w:rsidR="00D403DE" w:rsidRPr="00D3613D" w:rsidRDefault="00D403DE" w:rsidP="00D403DE">
      <w:pPr>
        <w:pStyle w:val="ConsPlusNormal"/>
        <w:ind w:firstLine="709"/>
        <w:jc w:val="both"/>
      </w:pPr>
      <w:r w:rsidRPr="00D3613D">
        <w:t>2</w:t>
      </w:r>
      <w:r>
        <w:t>.</w:t>
      </w:r>
      <w:r w:rsidRPr="00D3613D">
        <w:t>Системы оплаты труда работников устанавливаются с учетом:</w:t>
      </w:r>
    </w:p>
    <w:p w:rsidR="00D403DE" w:rsidRPr="00D3613D" w:rsidRDefault="00D403DE" w:rsidP="00D403DE">
      <w:pPr>
        <w:pStyle w:val="ConsPlusNormal"/>
        <w:ind w:firstLine="709"/>
        <w:jc w:val="both"/>
      </w:pPr>
      <w:r w:rsidRPr="00D3613D">
        <w:t>а) единого тарифно-квалификационного справочника работ и профессий рабочих или профессиональных стандартов;</w:t>
      </w:r>
    </w:p>
    <w:p w:rsidR="00D403DE" w:rsidRPr="00D3613D" w:rsidRDefault="00D403DE" w:rsidP="00D403DE">
      <w:pPr>
        <w:pStyle w:val="ConsPlusNormal"/>
        <w:ind w:firstLine="709"/>
        <w:jc w:val="both"/>
      </w:pPr>
      <w:r w:rsidRPr="00D3613D">
        <w:t>б) государственных гарантий по оплате труда;</w:t>
      </w:r>
    </w:p>
    <w:p w:rsidR="00D403DE" w:rsidRPr="00D3613D" w:rsidRDefault="00D403DE" w:rsidP="00D403DE">
      <w:pPr>
        <w:pStyle w:val="ConsPlusNormal"/>
        <w:ind w:firstLine="709"/>
        <w:jc w:val="both"/>
      </w:pPr>
      <w:r w:rsidRPr="00D3613D">
        <w:t xml:space="preserve">в) компенсационных выплат и стимулирующих выплат, перечисленных в </w:t>
      </w:r>
      <w:hyperlink w:anchor="P46" w:history="1">
        <w:r w:rsidRPr="00D3613D">
          <w:t xml:space="preserve">пунктах </w:t>
        </w:r>
        <w:r>
          <w:t>5</w:t>
        </w:r>
      </w:hyperlink>
      <w:r w:rsidRPr="00D3613D">
        <w:t xml:space="preserve"> и </w:t>
      </w:r>
      <w:hyperlink w:anchor="P52" w:history="1">
        <w:r>
          <w:t>6</w:t>
        </w:r>
      </w:hyperlink>
      <w:r w:rsidRPr="00D3613D">
        <w:t xml:space="preserve"> настоящего Положения;</w:t>
      </w:r>
    </w:p>
    <w:p w:rsidR="00D403DE" w:rsidRPr="00D3613D" w:rsidRDefault="00D403DE" w:rsidP="00D403DE">
      <w:pPr>
        <w:pStyle w:val="ConsPlusNormal"/>
        <w:ind w:firstLine="709"/>
        <w:jc w:val="both"/>
      </w:pPr>
      <w:r w:rsidRPr="00D3613D">
        <w:t>г) рекомендаций Российской трехсторонней комиссии по регулированию социально-трудовых отношений;</w:t>
      </w:r>
    </w:p>
    <w:p w:rsidR="00D403DE" w:rsidRPr="00D3613D" w:rsidRDefault="00D403DE" w:rsidP="00D403DE">
      <w:pPr>
        <w:pStyle w:val="ConsPlusNormal"/>
        <w:ind w:firstLine="709"/>
        <w:jc w:val="both"/>
      </w:pPr>
      <w:r w:rsidRPr="00D3613D">
        <w:t>д) мнения представительного органа работников.</w:t>
      </w:r>
    </w:p>
    <w:p w:rsidR="00D403DE" w:rsidRPr="00D3613D" w:rsidRDefault="00D403DE" w:rsidP="00D403DE">
      <w:pPr>
        <w:pStyle w:val="ConsPlusNormal"/>
        <w:ind w:firstLine="709"/>
        <w:jc w:val="both"/>
      </w:pPr>
      <w:r w:rsidRPr="00D3613D">
        <w:t>3</w:t>
      </w:r>
      <w:r>
        <w:t>.</w:t>
      </w:r>
      <w:r w:rsidRPr="00D3613D">
        <w:t>Заработная плата работников состоит из окладов, компенсационных выплат и стимулирующих выплат.</w:t>
      </w:r>
    </w:p>
    <w:p w:rsidR="00D403DE" w:rsidRPr="00D3613D" w:rsidRDefault="00D403DE" w:rsidP="00D403DE">
      <w:pPr>
        <w:pStyle w:val="ConsPlusNormal"/>
        <w:ind w:firstLine="709"/>
        <w:jc w:val="both"/>
      </w:pPr>
      <w:r w:rsidRPr="00D3613D">
        <w:t>4</w:t>
      </w:r>
      <w:r>
        <w:t>.</w:t>
      </w:r>
      <w:r w:rsidRPr="00D3613D">
        <w:t>Размеры 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</w:p>
    <w:p w:rsidR="00D403DE" w:rsidRDefault="00D403DE" w:rsidP="00D403DE">
      <w:pPr>
        <w:pStyle w:val="ConsPlusNormal"/>
        <w:jc w:val="right"/>
      </w:pPr>
      <w:r w:rsidRPr="00D403DE">
        <w:t>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2375"/>
      </w:tblGrid>
      <w:tr w:rsidR="00D403DE" w:rsidTr="00D403DE">
        <w:tc>
          <w:tcPr>
            <w:tcW w:w="675" w:type="dxa"/>
            <w:vAlign w:val="center"/>
          </w:tcPr>
          <w:p w:rsidR="00D403DE" w:rsidRDefault="00D403DE" w:rsidP="00D403DE">
            <w:pPr>
              <w:pStyle w:val="ConsPlusNormal"/>
              <w:spacing w:line="240" w:lineRule="exact"/>
              <w:jc w:val="center"/>
            </w:pPr>
            <w:r w:rsidRPr="00D3613D">
              <w:t>№</w:t>
            </w:r>
          </w:p>
          <w:p w:rsidR="00D403DE" w:rsidRPr="00D3613D" w:rsidRDefault="00D403DE" w:rsidP="00D403DE">
            <w:pPr>
              <w:pStyle w:val="ConsPlusNormal"/>
              <w:spacing w:line="240" w:lineRule="exact"/>
              <w:jc w:val="center"/>
            </w:pPr>
            <w:r w:rsidRPr="00D3613D">
              <w:t>п/п</w:t>
            </w:r>
          </w:p>
        </w:tc>
        <w:tc>
          <w:tcPr>
            <w:tcW w:w="3686" w:type="dxa"/>
            <w:vAlign w:val="center"/>
          </w:tcPr>
          <w:p w:rsidR="00D403DE" w:rsidRPr="00D3613D" w:rsidRDefault="00D403DE" w:rsidP="00D403DE">
            <w:pPr>
              <w:pStyle w:val="ConsPlusNormal"/>
              <w:spacing w:line="240" w:lineRule="exact"/>
              <w:jc w:val="center"/>
            </w:pPr>
            <w:r w:rsidRPr="00D3613D">
              <w:t>Профессиональные квалификационные группы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403DE" w:rsidRPr="00D3613D" w:rsidRDefault="00D403DE" w:rsidP="00D403DE">
            <w:pPr>
              <w:pStyle w:val="ConsPlusNormal"/>
              <w:spacing w:line="240" w:lineRule="exact"/>
              <w:jc w:val="center"/>
            </w:pPr>
            <w:r w:rsidRPr="00D3613D"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2375" w:type="dxa"/>
            <w:vAlign w:val="center"/>
          </w:tcPr>
          <w:p w:rsidR="00D403DE" w:rsidRPr="00D3613D" w:rsidRDefault="00D403DE" w:rsidP="00D403DE">
            <w:pPr>
              <w:pStyle w:val="ConsPlusNormal"/>
              <w:spacing w:line="240" w:lineRule="exact"/>
              <w:jc w:val="center"/>
            </w:pPr>
            <w:r w:rsidRPr="00D3613D">
              <w:t>Размер оклада (рублей)</w:t>
            </w:r>
          </w:p>
        </w:tc>
      </w:tr>
      <w:tr w:rsidR="00D403DE" w:rsidTr="00556215">
        <w:tc>
          <w:tcPr>
            <w:tcW w:w="675" w:type="dxa"/>
            <w:vMerge w:val="restart"/>
          </w:tcPr>
          <w:p w:rsidR="00D403DE" w:rsidRPr="00D3613D" w:rsidRDefault="00D403DE" w:rsidP="00D403DE">
            <w:pPr>
              <w:pStyle w:val="ConsPlusNormal"/>
              <w:jc w:val="center"/>
            </w:pPr>
            <w:r w:rsidRPr="00D3613D">
              <w:t>1.</w:t>
            </w:r>
          </w:p>
        </w:tc>
        <w:tc>
          <w:tcPr>
            <w:tcW w:w="3686" w:type="dxa"/>
            <w:vMerge w:val="restart"/>
          </w:tcPr>
          <w:p w:rsidR="00D403DE" w:rsidRPr="00D3613D" w:rsidRDefault="00D403DE" w:rsidP="00D403DE">
            <w:pPr>
              <w:pStyle w:val="ConsPlusNormal"/>
            </w:pPr>
            <w:r w:rsidRPr="00D3613D">
              <w:t xml:space="preserve">Общеотраслевые профессии рабочих первого уровня 1 </w:t>
            </w:r>
            <w:r w:rsidRPr="00D3613D">
              <w:lastRenderedPageBreak/>
              <w:t>квалификационного уровня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403DE" w:rsidRPr="00D3613D" w:rsidRDefault="00D403DE" w:rsidP="00D403DE">
            <w:pPr>
              <w:pStyle w:val="ConsPlusNormal"/>
              <w:spacing w:after="40"/>
              <w:jc w:val="center"/>
            </w:pPr>
            <w:r w:rsidRPr="00D3613D">
              <w:lastRenderedPageBreak/>
              <w:t>1 разряд</w:t>
            </w:r>
          </w:p>
        </w:tc>
        <w:tc>
          <w:tcPr>
            <w:tcW w:w="2375" w:type="dxa"/>
          </w:tcPr>
          <w:p w:rsidR="00D403DE" w:rsidRPr="00D3613D" w:rsidRDefault="00D403DE" w:rsidP="00D403DE">
            <w:pPr>
              <w:pStyle w:val="ConsPlusNormal"/>
              <w:jc w:val="center"/>
            </w:pPr>
            <w:r w:rsidRPr="00D3613D">
              <w:t>3444</w:t>
            </w:r>
          </w:p>
        </w:tc>
      </w:tr>
      <w:tr w:rsidR="00D403DE" w:rsidTr="00556215">
        <w:tc>
          <w:tcPr>
            <w:tcW w:w="675" w:type="dxa"/>
            <w:vMerge/>
          </w:tcPr>
          <w:p w:rsidR="00D403DE" w:rsidRPr="00D3613D" w:rsidRDefault="00D403DE" w:rsidP="00D403D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403DE" w:rsidRPr="00D3613D" w:rsidRDefault="00D403DE" w:rsidP="00D403D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403DE" w:rsidRPr="00D3613D" w:rsidRDefault="00D403DE" w:rsidP="00D403DE">
            <w:pPr>
              <w:pStyle w:val="ConsPlusNormal"/>
              <w:spacing w:after="40"/>
              <w:jc w:val="center"/>
            </w:pPr>
            <w:r w:rsidRPr="00D3613D">
              <w:t>2 разряд</w:t>
            </w:r>
          </w:p>
        </w:tc>
        <w:tc>
          <w:tcPr>
            <w:tcW w:w="2375" w:type="dxa"/>
          </w:tcPr>
          <w:p w:rsidR="00D403DE" w:rsidRPr="00D3613D" w:rsidRDefault="00D403DE" w:rsidP="00D403DE">
            <w:pPr>
              <w:pStyle w:val="ConsPlusNormal"/>
              <w:jc w:val="center"/>
            </w:pPr>
            <w:r w:rsidRPr="00D3613D">
              <w:t>3560</w:t>
            </w:r>
          </w:p>
        </w:tc>
      </w:tr>
      <w:tr w:rsidR="00D403DE" w:rsidTr="00556215">
        <w:tc>
          <w:tcPr>
            <w:tcW w:w="675" w:type="dxa"/>
            <w:vMerge/>
          </w:tcPr>
          <w:p w:rsidR="00D403DE" w:rsidRPr="00D3613D" w:rsidRDefault="00D403DE" w:rsidP="00D403D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403DE" w:rsidRPr="00D3613D" w:rsidRDefault="00D403DE" w:rsidP="00D403D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403DE" w:rsidRPr="00D3613D" w:rsidRDefault="00D403DE" w:rsidP="00D403DE">
            <w:pPr>
              <w:pStyle w:val="ConsPlusNormal"/>
              <w:spacing w:after="40"/>
              <w:jc w:val="center"/>
            </w:pPr>
            <w:r w:rsidRPr="00D3613D">
              <w:t>3 разряд</w:t>
            </w:r>
          </w:p>
        </w:tc>
        <w:tc>
          <w:tcPr>
            <w:tcW w:w="2375" w:type="dxa"/>
          </w:tcPr>
          <w:p w:rsidR="00D403DE" w:rsidRPr="00D3613D" w:rsidRDefault="00D403DE" w:rsidP="00D403DE">
            <w:pPr>
              <w:pStyle w:val="ConsPlusNormal"/>
              <w:jc w:val="center"/>
            </w:pPr>
            <w:r w:rsidRPr="00D3613D">
              <w:t>3729</w:t>
            </w:r>
          </w:p>
        </w:tc>
      </w:tr>
      <w:tr w:rsidR="00D403DE" w:rsidTr="00D403DE">
        <w:trPr>
          <w:trHeight w:val="414"/>
        </w:trPr>
        <w:tc>
          <w:tcPr>
            <w:tcW w:w="675" w:type="dxa"/>
            <w:vMerge w:val="restart"/>
          </w:tcPr>
          <w:p w:rsidR="00D403DE" w:rsidRPr="00D3613D" w:rsidRDefault="00D403DE" w:rsidP="00D403DE">
            <w:pPr>
              <w:pStyle w:val="ConsPlusNormal"/>
              <w:jc w:val="center"/>
            </w:pPr>
            <w:r w:rsidRPr="00D3613D">
              <w:lastRenderedPageBreak/>
              <w:t>2.</w:t>
            </w:r>
          </w:p>
        </w:tc>
        <w:tc>
          <w:tcPr>
            <w:tcW w:w="3686" w:type="dxa"/>
            <w:vMerge w:val="restart"/>
          </w:tcPr>
          <w:p w:rsidR="00D403DE" w:rsidRPr="00D3613D" w:rsidRDefault="00D403DE" w:rsidP="00D403DE">
            <w:pPr>
              <w:pStyle w:val="ConsPlusNormal"/>
            </w:pPr>
            <w:r w:rsidRPr="00D3613D">
              <w:t>Общеотраслевые профессии рабочих второго уровня 1 квалификационного уровня</w:t>
            </w:r>
          </w:p>
        </w:tc>
        <w:tc>
          <w:tcPr>
            <w:tcW w:w="3118" w:type="dxa"/>
          </w:tcPr>
          <w:p w:rsidR="00D403DE" w:rsidRPr="00D3613D" w:rsidRDefault="00D403DE" w:rsidP="00D403DE">
            <w:pPr>
              <w:pStyle w:val="ConsPlusNormal"/>
              <w:jc w:val="center"/>
            </w:pPr>
            <w:r w:rsidRPr="00D3613D">
              <w:t>4 разряд</w:t>
            </w:r>
          </w:p>
        </w:tc>
        <w:tc>
          <w:tcPr>
            <w:tcW w:w="2375" w:type="dxa"/>
          </w:tcPr>
          <w:p w:rsidR="00D403DE" w:rsidRPr="00D3613D" w:rsidRDefault="00D403DE" w:rsidP="00D403DE">
            <w:pPr>
              <w:pStyle w:val="ConsPlusNormal"/>
              <w:jc w:val="center"/>
            </w:pPr>
            <w:r w:rsidRPr="00D3613D">
              <w:t>3903</w:t>
            </w:r>
          </w:p>
        </w:tc>
      </w:tr>
      <w:tr w:rsidR="00D403DE" w:rsidTr="007502BB">
        <w:tc>
          <w:tcPr>
            <w:tcW w:w="675" w:type="dxa"/>
            <w:vMerge/>
          </w:tcPr>
          <w:p w:rsidR="00D403DE" w:rsidRPr="00D3613D" w:rsidRDefault="00D403DE" w:rsidP="00D403D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403DE" w:rsidRPr="00D3613D" w:rsidRDefault="00D403DE" w:rsidP="00D403D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403DE" w:rsidRPr="00D3613D" w:rsidRDefault="00D403DE" w:rsidP="00D403DE">
            <w:pPr>
              <w:pStyle w:val="ConsPlusNormal"/>
              <w:spacing w:line="240" w:lineRule="exact"/>
              <w:jc w:val="center"/>
            </w:pPr>
            <w:r w:rsidRPr="00D3613D">
              <w:t>5 разряд</w:t>
            </w:r>
          </w:p>
        </w:tc>
        <w:tc>
          <w:tcPr>
            <w:tcW w:w="2375" w:type="dxa"/>
          </w:tcPr>
          <w:p w:rsidR="00D403DE" w:rsidRPr="00D3613D" w:rsidRDefault="00D403DE" w:rsidP="00D403DE">
            <w:pPr>
              <w:pStyle w:val="ConsPlusNormal"/>
              <w:spacing w:line="240" w:lineRule="exact"/>
              <w:jc w:val="center"/>
            </w:pPr>
            <w:r w:rsidRPr="00D3613D">
              <w:t>4334</w:t>
            </w:r>
          </w:p>
        </w:tc>
      </w:tr>
    </w:tbl>
    <w:p w:rsidR="00D403DE" w:rsidRDefault="00D403DE" w:rsidP="00D403DE">
      <w:pPr>
        <w:pStyle w:val="ConsPlusNormal"/>
        <w:jc w:val="both"/>
      </w:pPr>
    </w:p>
    <w:p w:rsidR="00D403DE" w:rsidRPr="00D3613D" w:rsidRDefault="00D403DE" w:rsidP="00D403DE">
      <w:pPr>
        <w:pStyle w:val="ConsPlusNormal"/>
        <w:ind w:firstLine="709"/>
        <w:jc w:val="both"/>
      </w:pPr>
      <w:bookmarkStart w:id="0" w:name="P46"/>
      <w:bookmarkEnd w:id="0"/>
      <w:r>
        <w:t>5.</w:t>
      </w:r>
      <w:r w:rsidRPr="00D3613D">
        <w:t>К компенсационным выплатам относятся: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 xml:space="preserve">- </w:t>
      </w:r>
      <w:r w:rsidRPr="00D3613D">
        <w:t>выплаты при выполнении работ различной квалификации;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 xml:space="preserve">- </w:t>
      </w:r>
      <w:r w:rsidRPr="00D3613D">
        <w:t>выплаты при совмещении профессий;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 xml:space="preserve">- </w:t>
      </w:r>
      <w:r w:rsidRPr="00D3613D">
        <w:t>выплаты при сверхурочной работе;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 xml:space="preserve">- </w:t>
      </w:r>
      <w:r w:rsidRPr="00D3613D">
        <w:t>выплаты при работе в ночное время;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 xml:space="preserve">- </w:t>
      </w:r>
      <w:r w:rsidRPr="00D3613D">
        <w:t>выплаты при выполнении работ в других условиях, отклоняющихся от нормальных.</w:t>
      </w:r>
    </w:p>
    <w:p w:rsidR="00D403DE" w:rsidRPr="00D3613D" w:rsidRDefault="00D403DE" w:rsidP="00D403DE">
      <w:pPr>
        <w:pStyle w:val="ConsPlusNormal"/>
        <w:ind w:firstLine="709"/>
        <w:jc w:val="both"/>
      </w:pPr>
      <w:bookmarkStart w:id="1" w:name="P52"/>
      <w:bookmarkEnd w:id="1"/>
      <w:r>
        <w:t>6.</w:t>
      </w:r>
      <w:r w:rsidRPr="00D3613D">
        <w:t>К стимулирующим выплатам относятся: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 xml:space="preserve">- </w:t>
      </w:r>
      <w:r w:rsidRPr="00D3613D">
        <w:t>выплаты за интенсивность и высокие результаты работы;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 xml:space="preserve">- </w:t>
      </w:r>
      <w:r w:rsidRPr="00D3613D">
        <w:t>выплаты за качество выполняемых работ;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 xml:space="preserve">- </w:t>
      </w:r>
      <w:r w:rsidRPr="00D3613D">
        <w:t>выплаты за стаж непрерывной работы, выслугу лет;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 xml:space="preserve">- </w:t>
      </w:r>
      <w:r w:rsidRPr="00D3613D">
        <w:t>премиальные выплаты по итогам работы.</w:t>
      </w:r>
    </w:p>
    <w:p w:rsidR="00D403DE" w:rsidRPr="00D3613D" w:rsidRDefault="00D403DE" w:rsidP="00D403DE">
      <w:pPr>
        <w:pStyle w:val="ConsPlusNormal"/>
        <w:ind w:firstLine="709"/>
        <w:jc w:val="both"/>
      </w:pPr>
      <w:r>
        <w:t>7.</w:t>
      </w:r>
      <w:r w:rsidRPr="00D3613D">
        <w:t xml:space="preserve">Компенсационные выплаты устанавливаются к окладам работников на основании решения руководителя </w:t>
      </w:r>
      <w:r>
        <w:t>органа местного самоуправления</w:t>
      </w:r>
      <w:r w:rsidRPr="00D3613D">
        <w:t xml:space="preserve"> и (или) соглашения сторон трудового договора в размерах,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</w:t>
      </w:r>
      <w:r>
        <w:t>, решениями Совета Шпаковского муниципального района Ставропольского края и иными правовыми актами органов местного самоуправления Шпаковского муниципального района Ставропольского края</w:t>
      </w:r>
      <w:r w:rsidRPr="00D3613D">
        <w:t>.</w:t>
      </w:r>
    </w:p>
    <w:p w:rsidR="00D403DE" w:rsidRDefault="00D403DE" w:rsidP="00D403DE">
      <w:pPr>
        <w:pStyle w:val="ConsPlusNormal"/>
        <w:ind w:firstLine="709"/>
        <w:jc w:val="both"/>
      </w:pPr>
      <w:r>
        <w:t>8.</w:t>
      </w:r>
      <w:r w:rsidRPr="00D3613D">
        <w:t>Компенсационные выплаты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D403DE" w:rsidRPr="008D4D7D" w:rsidRDefault="00D403DE" w:rsidP="00D403DE">
      <w:pPr>
        <w:pStyle w:val="ConsPlusNormal"/>
        <w:ind w:firstLine="709"/>
        <w:jc w:val="both"/>
      </w:pPr>
      <w:r>
        <w:t>9.</w:t>
      </w:r>
      <w:r w:rsidRPr="008D4D7D">
        <w:t>Стимулирующие</w:t>
      </w:r>
      <w:r>
        <w:t xml:space="preserve"> </w:t>
      </w:r>
      <w:r w:rsidRPr="008D4D7D">
        <w:t>выплаты</w:t>
      </w:r>
      <w:r>
        <w:t xml:space="preserve"> </w:t>
      </w:r>
      <w:r w:rsidRPr="008D4D7D">
        <w:t>устанавливаются к окладам работников на</w:t>
      </w:r>
      <w:r>
        <w:t xml:space="preserve"> </w:t>
      </w:r>
      <w:r w:rsidRPr="008D4D7D">
        <w:t xml:space="preserve">основании </w:t>
      </w:r>
      <w:r>
        <w:t xml:space="preserve">решения </w:t>
      </w:r>
      <w:r w:rsidRPr="008D4D7D">
        <w:t>руководителя органа местного самоуправления на условиях,</w:t>
      </w:r>
      <w:r>
        <w:t xml:space="preserve"> </w:t>
      </w:r>
      <w:r w:rsidRPr="008D4D7D">
        <w:t>определяемых коллективными</w:t>
      </w:r>
      <w:r>
        <w:t xml:space="preserve"> </w:t>
      </w:r>
      <w:r w:rsidRPr="008D4D7D">
        <w:t>договорами,</w:t>
      </w:r>
      <w:r>
        <w:t xml:space="preserve"> </w:t>
      </w:r>
      <w:r w:rsidRPr="008D4D7D">
        <w:t>соглашениями,</w:t>
      </w:r>
      <w:r>
        <w:t xml:space="preserve"> </w:t>
      </w:r>
      <w:r w:rsidRPr="008D4D7D">
        <w:t>локальными</w:t>
      </w:r>
      <w:r>
        <w:t xml:space="preserve"> </w:t>
      </w:r>
      <w:r w:rsidRPr="008D4D7D">
        <w:t>нормативными</w:t>
      </w:r>
      <w:r>
        <w:t xml:space="preserve"> </w:t>
      </w:r>
      <w:r w:rsidRPr="008D4D7D">
        <w:t>актами</w:t>
      </w:r>
      <w:r>
        <w:t xml:space="preserve"> </w:t>
      </w:r>
      <w:r w:rsidRPr="008D4D7D">
        <w:t>в</w:t>
      </w:r>
      <w:r>
        <w:t xml:space="preserve"> </w:t>
      </w:r>
      <w:r w:rsidRPr="008D4D7D">
        <w:t>соответствии</w:t>
      </w:r>
      <w:r>
        <w:t xml:space="preserve"> </w:t>
      </w:r>
      <w:r w:rsidRPr="008D4D7D">
        <w:t>с федеральными законами, иными</w:t>
      </w:r>
      <w:r>
        <w:t xml:space="preserve"> </w:t>
      </w:r>
      <w:r w:rsidRPr="008D4D7D">
        <w:t>нормативными правовыми актами Российской Федерации,</w:t>
      </w:r>
      <w:r>
        <w:t xml:space="preserve"> </w:t>
      </w:r>
      <w:r w:rsidRPr="008D4D7D">
        <w:t>законами</w:t>
      </w:r>
      <w:r>
        <w:t xml:space="preserve"> </w:t>
      </w:r>
      <w:r w:rsidRPr="008D4D7D">
        <w:t>Ставропольского края, иными нормативными правовыми актами Ставропольского</w:t>
      </w:r>
      <w:r>
        <w:t xml:space="preserve"> </w:t>
      </w:r>
      <w:r w:rsidRPr="008D4D7D">
        <w:t xml:space="preserve">края </w:t>
      </w:r>
      <w:r>
        <w:t>решениями Совета Шпаковского муниципального района Ставропольского края и иными правовыми актами органов местного самоуправления Шпаковского муниципального района Ставропольского края</w:t>
      </w:r>
      <w:r w:rsidRPr="008D4D7D">
        <w:t>.</w:t>
      </w:r>
    </w:p>
    <w:p w:rsidR="00D403DE" w:rsidRDefault="00D403DE" w:rsidP="00D403DE">
      <w:pPr>
        <w:pStyle w:val="ConsPlusNormal"/>
        <w:ind w:firstLine="709"/>
        <w:jc w:val="both"/>
      </w:pPr>
      <w:r w:rsidRPr="008D4D7D">
        <w:t>10</w:t>
      </w:r>
      <w:r>
        <w:t>.</w:t>
      </w:r>
      <w:r w:rsidRPr="008D4D7D">
        <w:t>При формировании фонда оплаты труда работников сверх суммы средств, направляемых для выплаты окладов, предусматриваются средства (в расчете на год) для компенсационных выплат и стимулирующих выплат в</w:t>
      </w:r>
      <w:r>
        <w:t xml:space="preserve"> следующих размерах:</w:t>
      </w:r>
    </w:p>
    <w:p w:rsidR="00D403DE" w:rsidRDefault="00D403DE" w:rsidP="00D403DE">
      <w:pPr>
        <w:pStyle w:val="ConsPlusNormal"/>
        <w:ind w:firstLine="709"/>
        <w:jc w:val="both"/>
      </w:pPr>
      <w:r>
        <w:t>- компенсационные выплаты – в размере четырех окладов;</w:t>
      </w:r>
    </w:p>
    <w:p w:rsidR="00D403DE" w:rsidRDefault="00D403DE" w:rsidP="00D403DE">
      <w:pPr>
        <w:pStyle w:val="ConsPlusNormal"/>
        <w:ind w:firstLine="709"/>
        <w:jc w:val="both"/>
      </w:pPr>
      <w:r>
        <w:lastRenderedPageBreak/>
        <w:t>- выплаты за интенсивность и высокие результаты работы, выплаты за качество выполняемых работ – в размере десяти окладов;</w:t>
      </w:r>
    </w:p>
    <w:p w:rsidR="00D403DE" w:rsidRDefault="00D403DE" w:rsidP="00D403DE">
      <w:pPr>
        <w:pStyle w:val="ConsPlusNormal"/>
        <w:ind w:firstLine="709"/>
        <w:jc w:val="both"/>
      </w:pPr>
      <w:r>
        <w:t>- премиальные выплаты по итогам работы – в размере двенадцати окладов;</w:t>
      </w:r>
    </w:p>
    <w:p w:rsidR="00D403DE" w:rsidRDefault="00D403DE" w:rsidP="00D403DE">
      <w:pPr>
        <w:pStyle w:val="ConsPlusNormal"/>
        <w:ind w:firstLine="709"/>
        <w:jc w:val="both"/>
      </w:pPr>
      <w:r>
        <w:t>- выплаты материальной помощи – в размере трех окладов.</w:t>
      </w:r>
    </w:p>
    <w:p w:rsidR="00D403DE" w:rsidRDefault="00D403DE" w:rsidP="00D403DE">
      <w:pPr>
        <w:pStyle w:val="ConsPlusNormal"/>
        <w:ind w:firstLine="709"/>
        <w:jc w:val="both"/>
      </w:pPr>
      <w:r>
        <w:t>11.Руководители органов местного самоуправления вправе перераспределять средства фонда оплаты труда работников между выплатами, предусмотренными пунктом 10 настоящего Положения.</w:t>
      </w:r>
    </w:p>
    <w:p w:rsidR="00D403DE" w:rsidRPr="00257102" w:rsidRDefault="00D403DE" w:rsidP="00D403DE">
      <w:pPr>
        <w:pStyle w:val="ConsPlusNormal"/>
        <w:jc w:val="both"/>
      </w:pPr>
    </w:p>
    <w:p w:rsidR="00D403DE" w:rsidRPr="00257102" w:rsidRDefault="00D403DE" w:rsidP="00D403DE">
      <w:pPr>
        <w:pStyle w:val="ConsPlusNormal"/>
        <w:jc w:val="both"/>
      </w:pPr>
    </w:p>
    <w:p w:rsidR="00D403DE" w:rsidRDefault="00D403DE" w:rsidP="00D403DE">
      <w:pPr>
        <w:pStyle w:val="ConsPlusNormal"/>
        <w:jc w:val="both"/>
      </w:pPr>
    </w:p>
    <w:p w:rsidR="00A9396E" w:rsidRPr="00A02D18" w:rsidRDefault="00A9396E" w:rsidP="00A93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2" w:name="_GoBack"/>
      <w:bookmarkEnd w:id="2"/>
    </w:p>
    <w:sectPr w:rsidR="00A9396E" w:rsidRPr="00A02D18" w:rsidSect="00E6545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53" w:rsidRDefault="00471453" w:rsidP="00C26128">
      <w:pPr>
        <w:spacing w:after="0" w:line="240" w:lineRule="auto"/>
      </w:pPr>
      <w:r>
        <w:separator/>
      </w:r>
    </w:p>
  </w:endnote>
  <w:endnote w:type="continuationSeparator" w:id="0">
    <w:p w:rsidR="00471453" w:rsidRDefault="00471453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53" w:rsidRDefault="00471453" w:rsidP="00C26128">
      <w:pPr>
        <w:spacing w:after="0" w:line="240" w:lineRule="auto"/>
      </w:pPr>
      <w:r>
        <w:separator/>
      </w:r>
    </w:p>
  </w:footnote>
  <w:footnote w:type="continuationSeparator" w:id="0">
    <w:p w:rsidR="00471453" w:rsidRDefault="00471453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205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C26128" w:rsidRPr="00D403DE" w:rsidRDefault="00C26128" w:rsidP="00D403DE">
        <w:pPr>
          <w:pStyle w:val="a5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D403DE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D403DE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D403DE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A9396E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D403DE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2EBF"/>
    <w:multiLevelType w:val="hybridMultilevel"/>
    <w:tmpl w:val="E67CB93A"/>
    <w:lvl w:ilvl="0" w:tplc="CEE0EE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68710BF"/>
    <w:multiLevelType w:val="hybridMultilevel"/>
    <w:tmpl w:val="45646906"/>
    <w:lvl w:ilvl="0" w:tplc="5942C5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9"/>
    <w:rsid w:val="0000707E"/>
    <w:rsid w:val="0001392C"/>
    <w:rsid w:val="00085CB2"/>
    <w:rsid w:val="000D1457"/>
    <w:rsid w:val="00160118"/>
    <w:rsid w:val="00160282"/>
    <w:rsid w:val="001608CB"/>
    <w:rsid w:val="00173A21"/>
    <w:rsid w:val="001A6B27"/>
    <w:rsid w:val="001D3349"/>
    <w:rsid w:val="00294C98"/>
    <w:rsid w:val="00370E2C"/>
    <w:rsid w:val="003C2CC0"/>
    <w:rsid w:val="003D3752"/>
    <w:rsid w:val="00403A20"/>
    <w:rsid w:val="0041231E"/>
    <w:rsid w:val="00435EC2"/>
    <w:rsid w:val="00471453"/>
    <w:rsid w:val="004A7D0E"/>
    <w:rsid w:val="00523CCF"/>
    <w:rsid w:val="00594512"/>
    <w:rsid w:val="005A4ED5"/>
    <w:rsid w:val="005F05E4"/>
    <w:rsid w:val="0062301C"/>
    <w:rsid w:val="00626FCD"/>
    <w:rsid w:val="0066312E"/>
    <w:rsid w:val="00665919"/>
    <w:rsid w:val="00722F8A"/>
    <w:rsid w:val="007558F9"/>
    <w:rsid w:val="007740D5"/>
    <w:rsid w:val="007826E4"/>
    <w:rsid w:val="00810878"/>
    <w:rsid w:val="008F667C"/>
    <w:rsid w:val="00903167"/>
    <w:rsid w:val="009233F0"/>
    <w:rsid w:val="0092710D"/>
    <w:rsid w:val="00950D7A"/>
    <w:rsid w:val="00966648"/>
    <w:rsid w:val="009B785B"/>
    <w:rsid w:val="00A35099"/>
    <w:rsid w:val="00A67523"/>
    <w:rsid w:val="00A738F0"/>
    <w:rsid w:val="00A9396E"/>
    <w:rsid w:val="00AC5D1E"/>
    <w:rsid w:val="00AE2909"/>
    <w:rsid w:val="00C10B56"/>
    <w:rsid w:val="00C12C2C"/>
    <w:rsid w:val="00C26128"/>
    <w:rsid w:val="00C301E7"/>
    <w:rsid w:val="00C803BF"/>
    <w:rsid w:val="00D403DE"/>
    <w:rsid w:val="00D93CC8"/>
    <w:rsid w:val="00DD77F3"/>
    <w:rsid w:val="00E17FA5"/>
    <w:rsid w:val="00E6545E"/>
    <w:rsid w:val="00E679C4"/>
    <w:rsid w:val="00E84C73"/>
    <w:rsid w:val="00EA2EA8"/>
    <w:rsid w:val="00F0196E"/>
    <w:rsid w:val="00F50A83"/>
    <w:rsid w:val="00F5353F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B1DBD"/>
  <w15:docId w15:val="{4672A9AC-09AF-4B02-A67F-ABA4BF18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customStyle="1" w:styleId="ConsPlusTitle">
    <w:name w:val="ConsPlusTitle"/>
    <w:rsid w:val="00D40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F7B041F4EF73509BDFE8C7DC761DB7B722E8F23B50051FA86CB752FB88060310C147704BB37C5406F90E0FCDF1CCFAA5E145EFFCKBo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F7B041F4EF73509BDFF6CACA1A43BDB32AB6F833550D48F339B105A4D800565081412201F47A0157BD5B02C5FD86AAE1AA4AEFFAA863DDB4B95846K1o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EAAC-0692-4EB1-853C-A27F7440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user</cp:lastModifiedBy>
  <cp:revision>13</cp:revision>
  <cp:lastPrinted>2019-10-08T12:37:00Z</cp:lastPrinted>
  <dcterms:created xsi:type="dcterms:W3CDTF">2019-10-07T05:49:00Z</dcterms:created>
  <dcterms:modified xsi:type="dcterms:W3CDTF">2019-10-31T18:07:00Z</dcterms:modified>
</cp:coreProperties>
</file>