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77" w:tblpY="3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111"/>
      </w:tblGrid>
      <w:tr w:rsidR="00086654" w:rsidTr="00CB1FCB">
        <w:trPr>
          <w:trHeight w:val="127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86654" w:rsidRDefault="00086654" w:rsidP="00417AD8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654" w:rsidRDefault="00086654" w:rsidP="003C7E0B">
            <w:pPr>
              <w:spacing w:line="240" w:lineRule="exact"/>
              <w:ind w:left="17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086654" w:rsidRDefault="00086654" w:rsidP="003C7E0B">
            <w:pPr>
              <w:widowControl w:val="0"/>
              <w:suppressAutoHyphens/>
              <w:spacing w:line="240" w:lineRule="exact"/>
              <w:ind w:left="17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решением Думы Шпаковского муниципального округа Ставропольского края</w:t>
            </w:r>
          </w:p>
          <w:p w:rsidR="00086654" w:rsidRDefault="00086654" w:rsidP="00683EC6">
            <w:pPr>
              <w:widowControl w:val="0"/>
              <w:suppressAutoHyphens/>
              <w:spacing w:line="240" w:lineRule="exact"/>
              <w:ind w:left="176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</w:t>
            </w:r>
            <w:r w:rsidR="003C7E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83EC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31 марта 2021 г. </w:t>
            </w:r>
            <w:r w:rsidR="003C7E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683EC6">
              <w:rPr>
                <w:rFonts w:eastAsia="Calibri"/>
                <w:color w:val="000000"/>
                <w:sz w:val="28"/>
                <w:szCs w:val="28"/>
                <w:lang w:eastAsia="en-US"/>
              </w:rPr>
              <w:t>129</w:t>
            </w:r>
          </w:p>
        </w:tc>
      </w:tr>
    </w:tbl>
    <w:p w:rsidR="002E1638" w:rsidRDefault="002E1638" w:rsidP="0008665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103"/>
      <w:bookmarkEnd w:id="0"/>
    </w:p>
    <w:p w:rsidR="003C7E0B" w:rsidRDefault="003C7E0B" w:rsidP="0008665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C7E0B" w:rsidRPr="00B60E94" w:rsidRDefault="003C7E0B" w:rsidP="0008665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86654" w:rsidRDefault="00086654" w:rsidP="006650F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6654" w:rsidRDefault="00086654" w:rsidP="006650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00158">
        <w:rPr>
          <w:rFonts w:ascii="Times New Roman" w:hAnsi="Times New Roman" w:cs="Times New Roman"/>
          <w:sz w:val="28"/>
          <w:szCs w:val="28"/>
        </w:rPr>
        <w:t xml:space="preserve">исчисления стажа работы, дающего право на получение </w:t>
      </w:r>
      <w:r w:rsidR="00CD471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100158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лет, работникам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рабочих</w:t>
      </w:r>
    </w:p>
    <w:p w:rsidR="00086654" w:rsidRDefault="00086654" w:rsidP="006650F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0F1" w:rsidRPr="00B60E94" w:rsidRDefault="006650F1" w:rsidP="006650F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</w:t>
      </w:r>
      <w:r w:rsidR="00CD471B">
        <w:rPr>
          <w:rFonts w:ascii="Times New Roman" w:hAnsi="Times New Roman" w:cs="Times New Roman"/>
          <w:sz w:val="28"/>
          <w:szCs w:val="28"/>
        </w:rPr>
        <w:t xml:space="preserve">ежемесячной </w:t>
      </w:r>
      <w:bookmarkStart w:id="1" w:name="_GoBack"/>
      <w:bookmarkEnd w:id="1"/>
      <w:r w:rsidR="006650F1" w:rsidRPr="006650F1">
        <w:rPr>
          <w:rFonts w:ascii="Times New Roman" w:hAnsi="Times New Roman" w:cs="Times New Roman"/>
          <w:sz w:val="28"/>
          <w:szCs w:val="28"/>
        </w:rPr>
        <w:t xml:space="preserve">выплаты за стаж непрерывной работы, выслугу лет, работникам органов местного самоуправления Шпаковского муниципального округа Ставропольского края, осуществляющих профессиональную деятельность по профессиям рабочих </w:t>
      </w:r>
      <w:r w:rsidR="006650F1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4C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/>
          <w:sz w:val="28"/>
          <w:szCs w:val="28"/>
        </w:rPr>
        <w:t>отраслевой (функциональный)</w:t>
      </w:r>
      <w:r w:rsidRPr="00353A8E">
        <w:rPr>
          <w:rFonts w:ascii="Times New Roman" w:hAnsi="Times New Roman"/>
          <w:sz w:val="28"/>
          <w:szCs w:val="28"/>
        </w:rPr>
        <w:t xml:space="preserve"> орган с правами юридического лица</w:t>
      </w:r>
      <w:r w:rsidRPr="00C624C0">
        <w:rPr>
          <w:rFonts w:ascii="Times New Roman" w:hAnsi="Times New Roman" w:cs="Times New Roman"/>
          <w:sz w:val="28"/>
          <w:szCs w:val="28"/>
        </w:rPr>
        <w:t>, работники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>), включается: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1.1. Время работы в: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Администрации Президента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Совета Безопасности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Совета Обороны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Совета Федерации Федерального Собрания Российской Федерации, Государственной Думы Федерального Собрания Российской Федерации (Верховного Совета Российской Федерации);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аппаратах Правительства Российской Федерации (Совета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624C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Федерации), государственных органов Правительства Российской Федерации, государственных органов при Правительстве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федеральных органах исполнительной власти, их территориальных органах, государственных органах федеральных органов исполнительной власти и государственных органах при федеральных органах исполнительной власти;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дипломатических, торговых представительствах и консульских учреждениях Российской Федерации, представительствах федеральных органов исполнительной власти за рубежом, а также в межгосударственных органах управления стран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4C0">
        <w:rPr>
          <w:rFonts w:ascii="Times New Roman" w:hAnsi="Times New Roman" w:cs="Times New Roman"/>
          <w:sz w:val="28"/>
          <w:szCs w:val="28"/>
        </w:rPr>
        <w:t xml:space="preserve"> участников Содружества Независимых Государств;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Управлении делами Президента Российской Федерации, Медицинском центре Управления делами Президента Российской Федерации (Медицинском центре при Правительстве Российской Федерации);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Конституционного Суда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 xml:space="preserve">аппаратах Верховного Суда Российской Федерации, Верховного Суда республики, краевого суда, областного суда, суда города федерального </w:t>
      </w:r>
      <w:r w:rsidRPr="00C624C0">
        <w:rPr>
          <w:rFonts w:ascii="Times New Roman" w:hAnsi="Times New Roman" w:cs="Times New Roman"/>
          <w:sz w:val="28"/>
          <w:szCs w:val="28"/>
        </w:rPr>
        <w:lastRenderedPageBreak/>
        <w:t>значения, суда автономной области, суда автономного округа, районного суда;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Высшего Арбитражного Суда Российской Федерации, федерального арбитражного суда округа, федерального арбитражного суда субъекта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аппаратах Генеральной прокуратуры Российской Федерации, прокуратуры субъекта Российской Федерации, прокуратуры города (района);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Счетной палаты Российской Федерации (Контрольно-бюджетном комитете при Верховном Совете Российской Федерации);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Центральной избирательной комиссии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Главном управлении специальных программ Президента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органах местного самоуправления.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по 31 декабря 1991 года в: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аппарате Президента СССР, аппаратах президентов союзных республик;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при них, Советах Министров (правительствах) союзных и автономных республик, исполнительных комитетах краевых и областных Советов народных депутатов (Советов депутатов трудящихся),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министерствах и ведомствах СССР, союзных и автономных республик и их органах на территории СССР, дипломатических, торговых представительствах и консульских учреждениях СССР, представительствах министерств и ведомств СССР за рубежом, аппарате СЭВ и в Постоянном представительстве СССР в СЭВ, в иных международных организациях, в которых граждане бывшего СССР представляли интересы государства;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Комитете конституционного надзора СССР, Контрольной палате СССР, органах народного контроля, органах государственного арбитража, судах и органах прокуратуры СССР;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Советах народного хозяйства.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Время работы в государственных учреждениях, преобразованных </w:t>
      </w:r>
      <w:r w:rsidRPr="00C624C0">
        <w:rPr>
          <w:rFonts w:ascii="Times New Roman" w:hAnsi="Times New Roman" w:cs="Times New Roman"/>
          <w:sz w:val="28"/>
          <w:szCs w:val="28"/>
        </w:rPr>
        <w:lastRenderedPageBreak/>
        <w:t>решениями Президента Российской Федерации в государственные органы Правительства Российской Федерации,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1FCB">
        <w:rPr>
          <w:rFonts w:ascii="Times New Roman" w:hAnsi="Times New Roman" w:cs="Times New Roman"/>
          <w:sz w:val="28"/>
          <w:szCs w:val="28"/>
        </w:rPr>
        <w:t>.</w:t>
      </w:r>
      <w:r w:rsidRPr="00C624C0">
        <w:rPr>
          <w:rFonts w:ascii="Times New Roman" w:hAnsi="Times New Roman" w:cs="Times New Roman"/>
          <w:sz w:val="28"/>
          <w:szCs w:val="28"/>
        </w:rPr>
        <w:t xml:space="preserve"> Время работы в аппарате: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профсоюзных органов всех уровней (до 31 декабря 1991 года), а также на освобожденных выборных должностях этих органов;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C0">
        <w:rPr>
          <w:rFonts w:ascii="Times New Roman" w:hAnsi="Times New Roman" w:cs="Times New Roman"/>
          <w:sz w:val="28"/>
          <w:szCs w:val="28"/>
        </w:rPr>
        <w:t>партийных органов всех уровней (до 14 марта 1990 года), а также на освобожденных выборных должностях этих органов.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на выборных должностях на постоянной основе в органах государственной власти.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работы в качестве освобожденных работников профсоюзных организаций в аппарате органов государственной власти.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>Время обучения работников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>) в учебных заведениях, осуществляющих переподготовку, повышение квалификации, если они работали в этих органах до поступления на учебу.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Время военной службы, службы в органах внутренних дел, налоговой </w:t>
      </w:r>
      <w:r>
        <w:rPr>
          <w:rFonts w:ascii="Times New Roman" w:hAnsi="Times New Roman" w:cs="Times New Roman"/>
          <w:sz w:val="28"/>
          <w:szCs w:val="28"/>
        </w:rPr>
        <w:t xml:space="preserve">полиции, таможенных органах и </w:t>
      </w:r>
      <w:r w:rsidRPr="00C624C0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 w:rsidRPr="00C624C0">
        <w:rPr>
          <w:rFonts w:ascii="Times New Roman" w:hAnsi="Times New Roman" w:cs="Times New Roman"/>
          <w:sz w:val="28"/>
          <w:szCs w:val="28"/>
        </w:rPr>
        <w:t xml:space="preserve"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</w:t>
      </w:r>
      <w:r>
        <w:rPr>
          <w:rFonts w:ascii="Times New Roman" w:hAnsi="Times New Roman" w:cs="Times New Roman"/>
          <w:sz w:val="28"/>
          <w:szCs w:val="28"/>
        </w:rPr>
        <w:t>матери ребенка (отцу ребенка, бабушке, дедушке, другому родственнику или опекуну, фактически осуществляющему уход за ребенком),</w:t>
      </w:r>
      <w:r w:rsidRPr="00C624C0">
        <w:rPr>
          <w:rFonts w:ascii="Times New Roman" w:hAnsi="Times New Roman" w:cs="Times New Roman"/>
          <w:sz w:val="28"/>
          <w:szCs w:val="28"/>
        </w:rPr>
        <w:t xml:space="preserve"> состоящ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624C0">
        <w:rPr>
          <w:rFonts w:ascii="Times New Roman" w:hAnsi="Times New Roman" w:cs="Times New Roman"/>
          <w:sz w:val="28"/>
          <w:szCs w:val="28"/>
        </w:rPr>
        <w:t xml:space="preserve"> в трудовых отношениях с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624C0">
        <w:rPr>
          <w:rFonts w:ascii="Times New Roman" w:hAnsi="Times New Roman" w:cs="Times New Roman"/>
          <w:sz w:val="28"/>
          <w:szCs w:val="28"/>
        </w:rPr>
        <w:t xml:space="preserve"> местного самоуправления (</w:t>
      </w:r>
      <w:r>
        <w:rPr>
          <w:rFonts w:ascii="Times New Roman" w:hAnsi="Times New Roman"/>
          <w:sz w:val="28"/>
          <w:szCs w:val="28"/>
        </w:rPr>
        <w:t>отраслевыми (функциональными)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 w:rsidRPr="00C624C0">
        <w:rPr>
          <w:rFonts w:ascii="Times New Roman" w:hAnsi="Times New Roman" w:cs="Times New Roman"/>
          <w:sz w:val="28"/>
          <w:szCs w:val="28"/>
        </w:rPr>
        <w:t>).</w:t>
      </w:r>
    </w:p>
    <w:p w:rsidR="00086654" w:rsidRPr="00C624C0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4C0">
        <w:rPr>
          <w:rFonts w:ascii="Times New Roman" w:hAnsi="Times New Roman" w:cs="Times New Roman"/>
          <w:sz w:val="28"/>
          <w:szCs w:val="28"/>
        </w:rPr>
        <w:t>таж работы в районах Крайнего Севера, приравненных к ним местностях, в южных районах Восточной Сибири и Дальнего Востока, дающий право на получение ежемесячных надбавок за выслугу лет, исчисляется год за год.</w:t>
      </w:r>
    </w:p>
    <w:p w:rsidR="00086654" w:rsidRDefault="00086654" w:rsidP="00F30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определения с</w:t>
      </w:r>
      <w:r w:rsidRPr="00C624C0">
        <w:rPr>
          <w:rFonts w:ascii="Times New Roman" w:hAnsi="Times New Roman" w:cs="Times New Roman"/>
          <w:sz w:val="28"/>
          <w:szCs w:val="28"/>
        </w:rPr>
        <w:t>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 xml:space="preserve"> работы, 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624C0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F309E1" w:rsidRPr="00C624C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F309E1" w:rsidRPr="006650F1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лет,</w:t>
      </w:r>
      <w:r w:rsidRPr="00C624C0">
        <w:rPr>
          <w:rFonts w:ascii="Times New Roman" w:hAnsi="Times New Roman" w:cs="Times New Roman"/>
          <w:sz w:val="28"/>
          <w:szCs w:val="28"/>
        </w:rPr>
        <w:t xml:space="preserve"> работникам органов местного самоуправления (</w:t>
      </w:r>
      <w:r>
        <w:rPr>
          <w:rFonts w:ascii="Times New Roman" w:hAnsi="Times New Roman"/>
          <w:sz w:val="28"/>
          <w:szCs w:val="28"/>
        </w:rPr>
        <w:t>отраслевых (функциональных)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C624C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может создаваться комиссия</w:t>
      </w:r>
      <w:r w:rsidRPr="00C624C0">
        <w:rPr>
          <w:rFonts w:ascii="Times New Roman" w:hAnsi="Times New Roman" w:cs="Times New Roman"/>
          <w:sz w:val="28"/>
          <w:szCs w:val="28"/>
        </w:rPr>
        <w:t xml:space="preserve"> по установлению трудового стажа, состав которой утверждается руководителем соответствующего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 xml:space="preserve"> местного самоуправления (</w:t>
      </w:r>
      <w:r>
        <w:rPr>
          <w:rFonts w:ascii="Times New Roman" w:hAnsi="Times New Roman"/>
          <w:sz w:val="28"/>
          <w:szCs w:val="28"/>
        </w:rPr>
        <w:t>отраслевого (функционального)</w:t>
      </w:r>
      <w:r w:rsidRPr="00353A8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C624C0">
        <w:rPr>
          <w:rFonts w:ascii="Times New Roman" w:hAnsi="Times New Roman" w:cs="Times New Roman"/>
          <w:sz w:val="28"/>
          <w:szCs w:val="28"/>
        </w:rPr>
        <w:t>).</w:t>
      </w:r>
    </w:p>
    <w:p w:rsidR="00086654" w:rsidRDefault="00086654" w:rsidP="0068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Default="00086654" w:rsidP="0068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Default="00086654" w:rsidP="00683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654" w:rsidRPr="009B2EE1" w:rsidRDefault="00086654" w:rsidP="000866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86654" w:rsidRPr="009B2EE1" w:rsidRDefault="00086654" w:rsidP="0008665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2EE1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24874" w:rsidRDefault="00086654" w:rsidP="00DA35A9">
      <w:pPr>
        <w:pStyle w:val="ConsPlusNormal"/>
        <w:spacing w:line="240" w:lineRule="exact"/>
        <w:jc w:val="both"/>
      </w:pPr>
      <w:r w:rsidRPr="009B2EE1">
        <w:rPr>
          <w:rFonts w:ascii="Times New Roman" w:hAnsi="Times New Roman" w:cs="Times New Roman"/>
          <w:sz w:val="28"/>
          <w:szCs w:val="28"/>
        </w:rPr>
        <w:t>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309E1">
        <w:rPr>
          <w:rFonts w:ascii="Times New Roman" w:hAnsi="Times New Roman" w:cs="Times New Roman"/>
          <w:sz w:val="28"/>
          <w:szCs w:val="28"/>
        </w:rPr>
        <w:t xml:space="preserve">    </w:t>
      </w:r>
      <w:r w:rsidR="00683EC6">
        <w:rPr>
          <w:rFonts w:ascii="Times New Roman" w:hAnsi="Times New Roman" w:cs="Times New Roman"/>
          <w:sz w:val="28"/>
          <w:szCs w:val="28"/>
        </w:rPr>
        <w:t xml:space="preserve"> </w:t>
      </w:r>
      <w:r w:rsidRPr="009B2EE1">
        <w:rPr>
          <w:rFonts w:ascii="Times New Roman" w:hAnsi="Times New Roman" w:cs="Times New Roman"/>
          <w:sz w:val="28"/>
          <w:szCs w:val="28"/>
        </w:rPr>
        <w:t>С.В.Печкуров</w:t>
      </w:r>
    </w:p>
    <w:sectPr w:rsidR="00924874" w:rsidSect="00CB1F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2A" w:rsidRDefault="00873D2A" w:rsidP="00CB1FCB">
      <w:r>
        <w:separator/>
      </w:r>
    </w:p>
  </w:endnote>
  <w:endnote w:type="continuationSeparator" w:id="1">
    <w:p w:rsidR="00873D2A" w:rsidRDefault="00873D2A" w:rsidP="00CB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2A" w:rsidRDefault="00873D2A" w:rsidP="00CB1FCB">
      <w:r>
        <w:separator/>
      </w:r>
    </w:p>
  </w:footnote>
  <w:footnote w:type="continuationSeparator" w:id="1">
    <w:p w:rsidR="00873D2A" w:rsidRDefault="00873D2A" w:rsidP="00CB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9915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1FCB" w:rsidRPr="00CB1FCB" w:rsidRDefault="00AC4E8C">
        <w:pPr>
          <w:pStyle w:val="a3"/>
          <w:jc w:val="center"/>
          <w:rPr>
            <w:sz w:val="28"/>
            <w:szCs w:val="28"/>
          </w:rPr>
        </w:pPr>
        <w:r w:rsidRPr="00CB1FCB">
          <w:rPr>
            <w:sz w:val="28"/>
            <w:szCs w:val="28"/>
          </w:rPr>
          <w:fldChar w:fldCharType="begin"/>
        </w:r>
        <w:r w:rsidR="00CB1FCB" w:rsidRPr="00CB1FCB">
          <w:rPr>
            <w:sz w:val="28"/>
            <w:szCs w:val="28"/>
          </w:rPr>
          <w:instrText>PAGE   \* MERGEFORMAT</w:instrText>
        </w:r>
        <w:r w:rsidRPr="00CB1FCB">
          <w:rPr>
            <w:sz w:val="28"/>
            <w:szCs w:val="28"/>
          </w:rPr>
          <w:fldChar w:fldCharType="separate"/>
        </w:r>
        <w:r w:rsidR="00683EC6">
          <w:rPr>
            <w:noProof/>
            <w:sz w:val="28"/>
            <w:szCs w:val="28"/>
          </w:rPr>
          <w:t>3</w:t>
        </w:r>
        <w:r w:rsidRPr="00CB1FCB">
          <w:rPr>
            <w:sz w:val="28"/>
            <w:szCs w:val="28"/>
          </w:rPr>
          <w:fldChar w:fldCharType="end"/>
        </w:r>
      </w:p>
    </w:sdtContent>
  </w:sdt>
  <w:p w:rsidR="00CB1FCB" w:rsidRPr="00CB1FCB" w:rsidRDefault="00CB1FC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654"/>
    <w:rsid w:val="00086654"/>
    <w:rsid w:val="002E1638"/>
    <w:rsid w:val="003C7E0B"/>
    <w:rsid w:val="004943DC"/>
    <w:rsid w:val="006650F1"/>
    <w:rsid w:val="00683EC6"/>
    <w:rsid w:val="007E1EB5"/>
    <w:rsid w:val="00873D2A"/>
    <w:rsid w:val="008F357C"/>
    <w:rsid w:val="00924874"/>
    <w:rsid w:val="009A4EBD"/>
    <w:rsid w:val="00AC4E8C"/>
    <w:rsid w:val="00B43578"/>
    <w:rsid w:val="00C27959"/>
    <w:rsid w:val="00C325A7"/>
    <w:rsid w:val="00CB1FCB"/>
    <w:rsid w:val="00CD471B"/>
    <w:rsid w:val="00DA35A9"/>
    <w:rsid w:val="00F3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1F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6190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 В</dc:creator>
  <cp:lastModifiedBy>DUMA-1</cp:lastModifiedBy>
  <cp:revision>2</cp:revision>
  <cp:lastPrinted>2021-03-18T13:58:00Z</cp:lastPrinted>
  <dcterms:created xsi:type="dcterms:W3CDTF">2021-03-29T12:15:00Z</dcterms:created>
  <dcterms:modified xsi:type="dcterms:W3CDTF">2021-03-29T12:15:00Z</dcterms:modified>
</cp:coreProperties>
</file>