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C0" w:rsidRPr="003D231C" w:rsidRDefault="00C624C0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2077" w:tblpY="3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111"/>
      </w:tblGrid>
      <w:tr w:rsidR="00383107" w:rsidRPr="003D231C" w:rsidTr="0038310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3107" w:rsidRPr="003D231C" w:rsidRDefault="00383107" w:rsidP="008C685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107" w:rsidRPr="003D231C" w:rsidRDefault="00383107" w:rsidP="0024373E">
            <w:pPr>
              <w:widowControl w:val="0"/>
              <w:suppressAutoHyphens/>
              <w:spacing w:line="24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Y="10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2A25C6" w:rsidRPr="003D231C" w:rsidTr="002A25C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25C6" w:rsidRPr="003D231C" w:rsidRDefault="002A25C6" w:rsidP="0029126F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P103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5C6" w:rsidRPr="003D231C" w:rsidRDefault="00A73148" w:rsidP="002A25C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2A25C6" w:rsidRPr="003D231C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  <w:p w:rsidR="002A25C6" w:rsidRDefault="002A25C6" w:rsidP="002A25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231C">
              <w:rPr>
                <w:rFonts w:eastAsia="Calibri"/>
                <w:color w:val="000000"/>
                <w:sz w:val="28"/>
                <w:szCs w:val="28"/>
                <w:lang w:eastAsia="en-US"/>
              </w:rPr>
              <w:t>к решению Думы Шпаковского муниципального округа Ставропольского края</w:t>
            </w:r>
          </w:p>
          <w:p w:rsidR="005B7D90" w:rsidRPr="003D231C" w:rsidRDefault="005B7D90" w:rsidP="005B7D90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27 октября 2021 г. № 259</w:t>
            </w:r>
          </w:p>
          <w:p w:rsidR="002A25C6" w:rsidRPr="003D231C" w:rsidRDefault="002A25C6" w:rsidP="002A25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0E94" w:rsidRDefault="00B60E94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73D" w:rsidRDefault="0015673D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73D" w:rsidRDefault="0015673D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73D" w:rsidRDefault="0015673D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73D" w:rsidRDefault="0015673D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73D" w:rsidRPr="003D231C" w:rsidRDefault="0015673D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73D" w:rsidRPr="003D231C" w:rsidRDefault="002A25C6" w:rsidP="00A6795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ПОРЯДОК</w:t>
      </w:r>
    </w:p>
    <w:p w:rsidR="00C624C0" w:rsidRPr="003D231C" w:rsidRDefault="002A25C6" w:rsidP="002A25C6">
      <w:pPr>
        <w:pStyle w:val="ConsPlusNormal"/>
        <w:spacing w:line="240" w:lineRule="exac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исчисления стажа работы, дающего право на получение ежемесячных надбавок за выслугу лет работникам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</w:p>
    <w:p w:rsidR="00036272" w:rsidRDefault="00036272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ежемесячных надбавок за выслугу лет </w:t>
      </w:r>
      <w:r w:rsidR="00383107" w:rsidRPr="003D231C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 Шпаковского муниципальн</w:t>
      </w:r>
      <w:r w:rsidR="00CD51F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</w:t>
      </w:r>
      <w:r w:rsidR="00383107" w:rsidRPr="003D231C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="00CD51F6">
        <w:rPr>
          <w:rFonts w:ascii="Times New Roman" w:hAnsi="Times New Roman"/>
          <w:sz w:val="28"/>
          <w:szCs w:val="28"/>
        </w:rPr>
        <w:t xml:space="preserve">и территориальных </w:t>
      </w:r>
      <w:r w:rsidR="00383107" w:rsidRPr="003D231C">
        <w:rPr>
          <w:rFonts w:ascii="Times New Roman" w:hAnsi="Times New Roman"/>
          <w:sz w:val="28"/>
          <w:szCs w:val="28"/>
        </w:rPr>
        <w:t xml:space="preserve">органов </w:t>
      </w:r>
      <w:r w:rsidR="00CD51F6">
        <w:rPr>
          <w:rFonts w:ascii="Times New Roman" w:hAnsi="Times New Roman"/>
          <w:sz w:val="28"/>
          <w:szCs w:val="28"/>
        </w:rPr>
        <w:t xml:space="preserve">администрации Шпаковского муниципального округа Ставропольского края 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436068" w:rsidRPr="003D231C">
        <w:rPr>
          <w:rFonts w:ascii="Times New Roman" w:hAnsi="Times New Roman" w:cs="Times New Roman"/>
          <w:sz w:val="28"/>
          <w:szCs w:val="28"/>
        </w:rPr>
        <w:t>–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6068" w:rsidRPr="003D231C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="00383107" w:rsidRPr="003D231C">
        <w:rPr>
          <w:rFonts w:ascii="Times New Roman" w:hAnsi="Times New Roman"/>
          <w:sz w:val="28"/>
          <w:szCs w:val="28"/>
        </w:rPr>
        <w:t xml:space="preserve">отраслевой (функциональный) </w:t>
      </w:r>
      <w:r w:rsidR="00CD51F6">
        <w:rPr>
          <w:rFonts w:ascii="Times New Roman" w:hAnsi="Times New Roman"/>
          <w:sz w:val="28"/>
          <w:szCs w:val="28"/>
        </w:rPr>
        <w:t xml:space="preserve">и территориальный </w:t>
      </w:r>
      <w:r w:rsidR="00383107" w:rsidRPr="003D231C">
        <w:rPr>
          <w:rFonts w:ascii="Times New Roman" w:hAnsi="Times New Roman"/>
          <w:sz w:val="28"/>
          <w:szCs w:val="28"/>
        </w:rPr>
        <w:t>орган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="007E06A8" w:rsidRPr="003D231C">
        <w:rPr>
          <w:rFonts w:ascii="Times New Roman" w:hAnsi="Times New Roman" w:cs="Times New Roman"/>
          <w:sz w:val="28"/>
          <w:szCs w:val="28"/>
        </w:rPr>
        <w:t>органов местного самоуправления (</w:t>
      </w:r>
      <w:r w:rsidR="007E06A8" w:rsidRPr="003D231C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="00CD51F6">
        <w:rPr>
          <w:rFonts w:ascii="Times New Roman" w:hAnsi="Times New Roman"/>
          <w:sz w:val="28"/>
          <w:szCs w:val="28"/>
        </w:rPr>
        <w:t xml:space="preserve">и территориальных </w:t>
      </w:r>
      <w:r w:rsidR="007E06A8" w:rsidRPr="003D231C">
        <w:rPr>
          <w:rFonts w:ascii="Times New Roman" w:hAnsi="Times New Roman"/>
          <w:sz w:val="28"/>
          <w:szCs w:val="28"/>
        </w:rPr>
        <w:t>органов</w:t>
      </w:r>
      <w:r w:rsidR="007E06A8" w:rsidRPr="003D231C">
        <w:rPr>
          <w:rFonts w:ascii="Times New Roman" w:hAnsi="Times New Roman" w:cs="Times New Roman"/>
          <w:sz w:val="28"/>
          <w:szCs w:val="28"/>
        </w:rPr>
        <w:t>)</w:t>
      </w:r>
      <w:r w:rsidR="00C624C0" w:rsidRPr="003D231C">
        <w:rPr>
          <w:rFonts w:ascii="Times New Roman" w:hAnsi="Times New Roman" w:cs="Times New Roman"/>
          <w:sz w:val="28"/>
          <w:szCs w:val="28"/>
        </w:rPr>
        <w:t>, включается: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1.1. Время работы в: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Администрации Президента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аппарате Совета Безопасности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аппарате Совета Обороны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аппаратах Совета Федерации Федерального Собрания Российской Федерации, Государственной Думы Федерального Собрания Российской Федерации (Верховного Совета Российской Федерации);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аппаратах Правительства Российской Федерации (Совета Министров </w:t>
      </w:r>
      <w:r w:rsidR="00436068" w:rsidRPr="003D231C">
        <w:rPr>
          <w:rFonts w:ascii="Times New Roman" w:hAnsi="Times New Roman" w:cs="Times New Roman"/>
          <w:sz w:val="28"/>
          <w:szCs w:val="28"/>
        </w:rPr>
        <w:t xml:space="preserve">– </w:t>
      </w:r>
      <w:r w:rsidRPr="003D23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Федерации), государственных органов Правительства Российской Федерации, государственных органов при Правительстве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федеральных органах исполнительной власти, их территориальных органах, государственных органах федеральных органов исполнительной власти и государственных органах при федеральных органах исполнительной власти;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дипломатических, торговых представительствах и консульских учреждениях Российской Федерации, представительствах федеральных органов исполнительной власти за рубежом, а также в межгосударственных органах управления стран </w:t>
      </w:r>
      <w:r w:rsidR="00436068" w:rsidRPr="003D231C">
        <w:rPr>
          <w:rFonts w:ascii="Times New Roman" w:hAnsi="Times New Roman" w:cs="Times New Roman"/>
          <w:sz w:val="28"/>
          <w:szCs w:val="28"/>
        </w:rPr>
        <w:t>–</w:t>
      </w:r>
      <w:r w:rsidRPr="003D231C">
        <w:rPr>
          <w:rFonts w:ascii="Times New Roman" w:hAnsi="Times New Roman" w:cs="Times New Roman"/>
          <w:sz w:val="28"/>
          <w:szCs w:val="28"/>
        </w:rPr>
        <w:t xml:space="preserve"> участников Содружества Независимых Государств;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lastRenderedPageBreak/>
        <w:t>Управлении делами Президента Российской Федерации, Медицинском центре Управления делами Президента Российской Федерации (Медицинском центре при Правительстве Российской Федерации);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аппарате Конституционного Суда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аппаратах Верховного Суда Российской Федерации, Верховного Суда республики, краевого суда, областного суда, суда города федерального значения, суда автономной области, суда автономного округа, районного суда;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аппаратах Высшего Арбитражного Суда Российской Федерации, федерального арбитражного суда округа, федерального арбитражного суда субъекта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аппаратах Генеральной прокуратуры Российской Федерации, прокуратуры субъекта Российской Федерации, прокуратуры города (района);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аппарате Счетной палаты Российской Федерации (Контрольно-бюджетном комитете при Верховном Совете Российской Федерации);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аппарате Центральной избирательной комиссии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Главном управлении специальных программ Президента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органах местного самоуправления.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1.2.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>Время работы по 31 декабря 1991 года в: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аппарате Президента СССР, аппаратах президентов союзных республик;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 автономных областей, автономных округов, в районных, городских, районных в городах, поселковых и сельских Советах народных депутатов (Советах депутатов трудящихся);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при них, Советах Министров (правительствах) союзных и автономных республик, исполнительных комитетах краевых и областных Советов народных депутатов (Советов депутатов трудящихся), Советов народных депутатов (Советов депутатов трудящихся)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министерствах и ведомствах СССР, союзных и автономных республик и их органах на территории СССР, дипломатических, торговых представительствах и консульских учреждениях СССР, представительствах </w:t>
      </w:r>
      <w:r w:rsidRPr="003D231C">
        <w:rPr>
          <w:rFonts w:ascii="Times New Roman" w:hAnsi="Times New Roman" w:cs="Times New Roman"/>
          <w:sz w:val="28"/>
          <w:szCs w:val="28"/>
        </w:rPr>
        <w:lastRenderedPageBreak/>
        <w:t>министерств и ведомств СССР за рубежом, аппарате СЭВ и в Постоянном представительстве СССР в СЭВ, в иных международных организациях, в которых граждане бывшего СССР представляли интересы государства;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Комитете конституционного надзора СССР, Контрольной палате СССР, органах народного контроля, органах государственного арбитража, судах и органах прокуратуры СССР;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Советах народного хозяйства.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1.3.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>Время работы в государственных учреждениях, преобразованных решениями Президента Российской Федерации в государственные органы Правительства Российской Федерации,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1.4</w:t>
      </w:r>
      <w:r w:rsidR="0015673D">
        <w:rPr>
          <w:rFonts w:ascii="Times New Roman" w:hAnsi="Times New Roman" w:cs="Times New Roman"/>
          <w:sz w:val="28"/>
          <w:szCs w:val="28"/>
        </w:rPr>
        <w:t>.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Время работы в аппарате: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профсоюзных органов всех уровней (до 31 декабря 1991 года), а также на освобожденных выборных должностях этих органов;</w:t>
      </w:r>
    </w:p>
    <w:p w:rsidR="00C624C0" w:rsidRPr="003D231C" w:rsidRDefault="00C624C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партийных органов всех уровней (до 14 марта 1990 года), а также на освобожденных выборных должностях этих органов.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1.5.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>Время работы на выборных должностях на постоянной основе в органах государственной власти.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1.6.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>Время работы в качестве освобожденных работников профсоюзных организаций в аппарате органов государственной власти.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1.7.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Время обучения работников </w:t>
      </w:r>
      <w:r w:rsidR="007E06A8" w:rsidRPr="003D231C">
        <w:rPr>
          <w:rFonts w:ascii="Times New Roman" w:hAnsi="Times New Roman" w:cs="Times New Roman"/>
          <w:sz w:val="28"/>
          <w:szCs w:val="28"/>
        </w:rPr>
        <w:t>органов местного самоуправления (</w:t>
      </w:r>
      <w:r w:rsidR="007E06A8" w:rsidRPr="003D231C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="00CD51F6">
        <w:rPr>
          <w:rFonts w:ascii="Times New Roman" w:hAnsi="Times New Roman"/>
          <w:sz w:val="28"/>
          <w:szCs w:val="28"/>
        </w:rPr>
        <w:t xml:space="preserve">и территориальных </w:t>
      </w:r>
      <w:r w:rsidR="007E06A8" w:rsidRPr="003D231C">
        <w:rPr>
          <w:rFonts w:ascii="Times New Roman" w:hAnsi="Times New Roman"/>
          <w:sz w:val="28"/>
          <w:szCs w:val="28"/>
        </w:rPr>
        <w:t>органов</w:t>
      </w:r>
      <w:r w:rsidR="007E06A8" w:rsidRPr="003D231C">
        <w:rPr>
          <w:rFonts w:ascii="Times New Roman" w:hAnsi="Times New Roman" w:cs="Times New Roman"/>
          <w:sz w:val="28"/>
          <w:szCs w:val="28"/>
        </w:rPr>
        <w:t>)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в учебных заведениях, осуществляющих переподготовку, повышение квалификации, если они работали в этих органах до поступления на учебу.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1.8.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Время военной службы, службы в органах внутренних дел, налоговой </w:t>
      </w:r>
      <w:r w:rsidRPr="003D231C">
        <w:rPr>
          <w:rFonts w:ascii="Times New Roman" w:hAnsi="Times New Roman" w:cs="Times New Roman"/>
          <w:sz w:val="28"/>
          <w:szCs w:val="28"/>
        </w:rPr>
        <w:t xml:space="preserve">полиции, таможенных органах и </w:t>
      </w:r>
      <w:r w:rsidR="00C624C0" w:rsidRPr="003D231C">
        <w:rPr>
          <w:rFonts w:ascii="Times New Roman" w:hAnsi="Times New Roman" w:cs="Times New Roman"/>
          <w:sz w:val="28"/>
          <w:szCs w:val="28"/>
        </w:rPr>
        <w:t>органах уголовно-исполнительной системы.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1.9.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</w:t>
      </w:r>
      <w:r w:rsidRPr="003D231C">
        <w:rPr>
          <w:rFonts w:ascii="Times New Roman" w:hAnsi="Times New Roman" w:cs="Times New Roman"/>
          <w:sz w:val="28"/>
          <w:szCs w:val="28"/>
        </w:rPr>
        <w:t>матери ребенка (отцу ребенка, бабушке, дедушке, другому родственнику или опекуну, фактически осуществляющему уход за ребенком),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состоящ</w:t>
      </w:r>
      <w:r w:rsidRPr="003D231C">
        <w:rPr>
          <w:rFonts w:ascii="Times New Roman" w:hAnsi="Times New Roman" w:cs="Times New Roman"/>
          <w:sz w:val="28"/>
          <w:szCs w:val="28"/>
        </w:rPr>
        <w:t>ей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в трудовых отношениях с </w:t>
      </w:r>
      <w:r w:rsidR="007E06A8" w:rsidRPr="003D231C">
        <w:rPr>
          <w:rFonts w:ascii="Times New Roman" w:hAnsi="Times New Roman" w:cs="Times New Roman"/>
          <w:sz w:val="28"/>
          <w:szCs w:val="28"/>
        </w:rPr>
        <w:t>органами местного самоуправления (</w:t>
      </w:r>
      <w:r w:rsidR="007E06A8" w:rsidRPr="003D231C">
        <w:rPr>
          <w:rFonts w:ascii="Times New Roman" w:hAnsi="Times New Roman"/>
          <w:sz w:val="28"/>
          <w:szCs w:val="28"/>
        </w:rPr>
        <w:t>отраслевыми (функциональными)</w:t>
      </w:r>
      <w:r w:rsidR="00CD51F6">
        <w:rPr>
          <w:rFonts w:ascii="Times New Roman" w:hAnsi="Times New Roman"/>
          <w:sz w:val="28"/>
          <w:szCs w:val="28"/>
        </w:rPr>
        <w:t xml:space="preserve"> и территориальными</w:t>
      </w:r>
      <w:r w:rsidR="007E06A8" w:rsidRPr="003D231C">
        <w:rPr>
          <w:rFonts w:ascii="Times New Roman" w:hAnsi="Times New Roman"/>
          <w:sz w:val="28"/>
          <w:szCs w:val="28"/>
        </w:rPr>
        <w:t xml:space="preserve"> органами</w:t>
      </w:r>
      <w:r w:rsidR="007E06A8" w:rsidRPr="003D231C">
        <w:rPr>
          <w:rFonts w:ascii="Times New Roman" w:hAnsi="Times New Roman" w:cs="Times New Roman"/>
          <w:sz w:val="28"/>
          <w:szCs w:val="28"/>
        </w:rPr>
        <w:t>)</w:t>
      </w:r>
      <w:r w:rsidR="00C624C0" w:rsidRPr="003D231C">
        <w:rPr>
          <w:rFonts w:ascii="Times New Roman" w:hAnsi="Times New Roman" w:cs="Times New Roman"/>
          <w:sz w:val="28"/>
          <w:szCs w:val="28"/>
        </w:rPr>
        <w:t>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2.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B60E94" w:rsidRPr="003D231C">
        <w:rPr>
          <w:rFonts w:ascii="Times New Roman" w:hAnsi="Times New Roman" w:cs="Times New Roman"/>
          <w:sz w:val="28"/>
          <w:szCs w:val="28"/>
        </w:rPr>
        <w:t>С</w:t>
      </w:r>
      <w:r w:rsidR="00C624C0" w:rsidRPr="003D231C">
        <w:rPr>
          <w:rFonts w:ascii="Times New Roman" w:hAnsi="Times New Roman" w:cs="Times New Roman"/>
          <w:sz w:val="28"/>
          <w:szCs w:val="28"/>
        </w:rPr>
        <w:t>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ежемесячных надбавок за выслугу лет, исчисляется год за год.</w:t>
      </w:r>
    </w:p>
    <w:p w:rsidR="00C624C0" w:rsidRPr="003D231C" w:rsidRDefault="00A67950" w:rsidP="00C62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3.</w:t>
      </w:r>
      <w:r w:rsidR="0015673D">
        <w:rPr>
          <w:rFonts w:ascii="Times New Roman" w:hAnsi="Times New Roman" w:cs="Times New Roman"/>
          <w:sz w:val="28"/>
          <w:szCs w:val="28"/>
        </w:rPr>
        <w:t xml:space="preserve"> </w:t>
      </w:r>
      <w:r w:rsidR="00436068" w:rsidRPr="003D231C">
        <w:rPr>
          <w:rFonts w:ascii="Times New Roman" w:hAnsi="Times New Roman" w:cs="Times New Roman"/>
          <w:sz w:val="28"/>
          <w:szCs w:val="28"/>
        </w:rPr>
        <w:t>В целях</w:t>
      </w:r>
      <w:r w:rsidR="00B60E94" w:rsidRPr="003D231C">
        <w:rPr>
          <w:rFonts w:ascii="Times New Roman" w:hAnsi="Times New Roman" w:cs="Times New Roman"/>
          <w:sz w:val="28"/>
          <w:szCs w:val="28"/>
        </w:rPr>
        <w:t xml:space="preserve"> определения с</w:t>
      </w:r>
      <w:r w:rsidR="00C624C0" w:rsidRPr="003D231C">
        <w:rPr>
          <w:rFonts w:ascii="Times New Roman" w:hAnsi="Times New Roman" w:cs="Times New Roman"/>
          <w:sz w:val="28"/>
          <w:szCs w:val="28"/>
        </w:rPr>
        <w:t>таж</w:t>
      </w:r>
      <w:r w:rsidR="00B60E94" w:rsidRPr="003D231C">
        <w:rPr>
          <w:rFonts w:ascii="Times New Roman" w:hAnsi="Times New Roman" w:cs="Times New Roman"/>
          <w:sz w:val="28"/>
          <w:szCs w:val="28"/>
        </w:rPr>
        <w:t>а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работы, дающ</w:t>
      </w:r>
      <w:r w:rsidR="00B60E94" w:rsidRPr="003D231C">
        <w:rPr>
          <w:rFonts w:ascii="Times New Roman" w:hAnsi="Times New Roman" w:cs="Times New Roman"/>
          <w:sz w:val="28"/>
          <w:szCs w:val="28"/>
        </w:rPr>
        <w:t>его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право на выплату ежемесячной надбавки за выслугу лет работникам </w:t>
      </w:r>
      <w:r w:rsidR="007E06A8" w:rsidRPr="003D231C">
        <w:rPr>
          <w:rFonts w:ascii="Times New Roman" w:hAnsi="Times New Roman" w:cs="Times New Roman"/>
          <w:sz w:val="28"/>
          <w:szCs w:val="28"/>
        </w:rPr>
        <w:t>органов местного самоуправления (</w:t>
      </w:r>
      <w:r w:rsidR="007E06A8" w:rsidRPr="003D231C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="00CD51F6">
        <w:rPr>
          <w:rFonts w:ascii="Times New Roman" w:hAnsi="Times New Roman"/>
          <w:sz w:val="28"/>
          <w:szCs w:val="28"/>
        </w:rPr>
        <w:t xml:space="preserve">и территориальных </w:t>
      </w:r>
      <w:r w:rsidR="007E06A8" w:rsidRPr="003D231C">
        <w:rPr>
          <w:rFonts w:ascii="Times New Roman" w:hAnsi="Times New Roman"/>
          <w:sz w:val="28"/>
          <w:szCs w:val="28"/>
        </w:rPr>
        <w:lastRenderedPageBreak/>
        <w:t>органов</w:t>
      </w:r>
      <w:r w:rsidR="007E06A8" w:rsidRPr="003D231C">
        <w:rPr>
          <w:rFonts w:ascii="Times New Roman" w:hAnsi="Times New Roman" w:cs="Times New Roman"/>
          <w:sz w:val="28"/>
          <w:szCs w:val="28"/>
        </w:rPr>
        <w:t>)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, </w:t>
      </w:r>
      <w:r w:rsidR="00B60E94" w:rsidRPr="003D231C">
        <w:rPr>
          <w:rFonts w:ascii="Times New Roman" w:hAnsi="Times New Roman" w:cs="Times New Roman"/>
          <w:sz w:val="28"/>
          <w:szCs w:val="28"/>
        </w:rPr>
        <w:t>может создаваться комиссия</w:t>
      </w:r>
      <w:r w:rsidR="00C624C0" w:rsidRPr="003D231C">
        <w:rPr>
          <w:rFonts w:ascii="Times New Roman" w:hAnsi="Times New Roman" w:cs="Times New Roman"/>
          <w:sz w:val="28"/>
          <w:szCs w:val="28"/>
        </w:rPr>
        <w:t xml:space="preserve"> по установлению трудового стажа, состав которой утверждается руководителем соответствующего </w:t>
      </w:r>
      <w:r w:rsidR="007E06A8" w:rsidRPr="003D231C">
        <w:rPr>
          <w:rFonts w:ascii="Times New Roman" w:hAnsi="Times New Roman" w:cs="Times New Roman"/>
          <w:sz w:val="28"/>
          <w:szCs w:val="28"/>
        </w:rPr>
        <w:t>органа местного самоуправления (</w:t>
      </w:r>
      <w:r w:rsidR="007E06A8" w:rsidRPr="003D231C">
        <w:rPr>
          <w:rFonts w:ascii="Times New Roman" w:hAnsi="Times New Roman"/>
          <w:sz w:val="28"/>
          <w:szCs w:val="28"/>
        </w:rPr>
        <w:t xml:space="preserve">отраслевого (функционального) </w:t>
      </w:r>
      <w:r w:rsidR="00CD51F6">
        <w:rPr>
          <w:rFonts w:ascii="Times New Roman" w:hAnsi="Times New Roman"/>
          <w:sz w:val="28"/>
          <w:szCs w:val="28"/>
        </w:rPr>
        <w:t xml:space="preserve">и территориального </w:t>
      </w:r>
      <w:r w:rsidR="007E06A8" w:rsidRPr="003D231C">
        <w:rPr>
          <w:rFonts w:ascii="Times New Roman" w:hAnsi="Times New Roman"/>
          <w:sz w:val="28"/>
          <w:szCs w:val="28"/>
        </w:rPr>
        <w:t>органа</w:t>
      </w:r>
      <w:r w:rsidR="007E06A8" w:rsidRPr="003D231C">
        <w:rPr>
          <w:rFonts w:ascii="Times New Roman" w:hAnsi="Times New Roman" w:cs="Times New Roman"/>
          <w:sz w:val="28"/>
          <w:szCs w:val="28"/>
        </w:rPr>
        <w:t>)</w:t>
      </w:r>
      <w:r w:rsidR="00C624C0" w:rsidRPr="003D231C">
        <w:rPr>
          <w:rFonts w:ascii="Times New Roman" w:hAnsi="Times New Roman" w:cs="Times New Roman"/>
          <w:sz w:val="28"/>
          <w:szCs w:val="28"/>
        </w:rPr>
        <w:t>.</w:t>
      </w:r>
    </w:p>
    <w:p w:rsidR="009B2EE1" w:rsidRPr="003D231C" w:rsidRDefault="009B2EE1" w:rsidP="005B7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252" w:rsidRDefault="00BE5252" w:rsidP="005B7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73D" w:rsidRPr="003D231C" w:rsidRDefault="0015673D" w:rsidP="005B7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EE1" w:rsidRPr="003D231C" w:rsidRDefault="009B2EE1" w:rsidP="00B60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B2EE1" w:rsidRPr="003D231C" w:rsidRDefault="009B2EE1" w:rsidP="00B60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9B2EE1" w:rsidRPr="003D231C" w:rsidRDefault="009B2EE1" w:rsidP="00B60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E5252" w:rsidRPr="003D231C"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>С.В.</w:t>
      </w:r>
      <w:r w:rsidR="00BE5252" w:rsidRPr="003D231C"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>Печкуров</w:t>
      </w:r>
    </w:p>
    <w:p w:rsidR="009B2EE1" w:rsidRPr="003D231C" w:rsidRDefault="009B2EE1" w:rsidP="0015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94" w:rsidRPr="003D231C" w:rsidRDefault="00B60E94" w:rsidP="0015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EE1" w:rsidRDefault="009B2EE1" w:rsidP="0015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73D" w:rsidRDefault="0015673D" w:rsidP="001567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D231C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15673D" w:rsidRDefault="0015673D" w:rsidP="001567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5673D" w:rsidRPr="003D231C" w:rsidRDefault="0015673D" w:rsidP="001567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И.В.Серов</w:t>
      </w:r>
    </w:p>
    <w:sectPr w:rsidR="0015673D" w:rsidRPr="003D231C" w:rsidSect="002A25C6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64" w:rsidRDefault="00536764" w:rsidP="00B60E94">
      <w:r>
        <w:separator/>
      </w:r>
    </w:p>
  </w:endnote>
  <w:endnote w:type="continuationSeparator" w:id="1">
    <w:p w:rsidR="00536764" w:rsidRDefault="00536764" w:rsidP="00B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64" w:rsidRDefault="00536764" w:rsidP="00B60E94">
      <w:r>
        <w:separator/>
      </w:r>
    </w:p>
  </w:footnote>
  <w:footnote w:type="continuationSeparator" w:id="1">
    <w:p w:rsidR="00536764" w:rsidRDefault="00536764" w:rsidP="00B60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76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E94" w:rsidRDefault="00FB754A">
        <w:pPr>
          <w:pStyle w:val="a3"/>
          <w:jc w:val="center"/>
        </w:pPr>
        <w:r w:rsidRPr="0015673D">
          <w:rPr>
            <w:sz w:val="28"/>
            <w:szCs w:val="28"/>
          </w:rPr>
          <w:fldChar w:fldCharType="begin"/>
        </w:r>
        <w:r w:rsidR="000D7420" w:rsidRPr="0015673D">
          <w:rPr>
            <w:sz w:val="28"/>
            <w:szCs w:val="28"/>
          </w:rPr>
          <w:instrText xml:space="preserve"> PAGE   \* MERGEFORMAT </w:instrText>
        </w:r>
        <w:r w:rsidRPr="0015673D">
          <w:rPr>
            <w:sz w:val="28"/>
            <w:szCs w:val="28"/>
          </w:rPr>
          <w:fldChar w:fldCharType="separate"/>
        </w:r>
        <w:r w:rsidR="005B7D90">
          <w:rPr>
            <w:noProof/>
            <w:sz w:val="28"/>
            <w:szCs w:val="28"/>
          </w:rPr>
          <w:t>4</w:t>
        </w:r>
        <w:r w:rsidRPr="0015673D">
          <w:rPr>
            <w:noProof/>
            <w:sz w:val="28"/>
            <w:szCs w:val="28"/>
          </w:rPr>
          <w:fldChar w:fldCharType="end"/>
        </w:r>
      </w:p>
    </w:sdtContent>
  </w:sdt>
  <w:p w:rsidR="00B60E94" w:rsidRDefault="00B60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4C0"/>
    <w:rsid w:val="00036272"/>
    <w:rsid w:val="00055040"/>
    <w:rsid w:val="00073CB7"/>
    <w:rsid w:val="000C73F5"/>
    <w:rsid w:val="000D7420"/>
    <w:rsid w:val="0015673D"/>
    <w:rsid w:val="0024373E"/>
    <w:rsid w:val="002477CF"/>
    <w:rsid w:val="002A25C6"/>
    <w:rsid w:val="00332D5C"/>
    <w:rsid w:val="00383107"/>
    <w:rsid w:val="003D231C"/>
    <w:rsid w:val="00436068"/>
    <w:rsid w:val="004C326A"/>
    <w:rsid w:val="004E3E61"/>
    <w:rsid w:val="00536764"/>
    <w:rsid w:val="005B7D90"/>
    <w:rsid w:val="006407C5"/>
    <w:rsid w:val="00676246"/>
    <w:rsid w:val="00677A88"/>
    <w:rsid w:val="007E06A8"/>
    <w:rsid w:val="007F6405"/>
    <w:rsid w:val="00815952"/>
    <w:rsid w:val="00942D3C"/>
    <w:rsid w:val="009B2EE1"/>
    <w:rsid w:val="00A67950"/>
    <w:rsid w:val="00A714F8"/>
    <w:rsid w:val="00A73148"/>
    <w:rsid w:val="00A95CA9"/>
    <w:rsid w:val="00AA08F1"/>
    <w:rsid w:val="00B60E94"/>
    <w:rsid w:val="00B70361"/>
    <w:rsid w:val="00BE5252"/>
    <w:rsid w:val="00C56EEC"/>
    <w:rsid w:val="00C624C0"/>
    <w:rsid w:val="00CD51F6"/>
    <w:rsid w:val="00DB6B65"/>
    <w:rsid w:val="00EA4B6F"/>
    <w:rsid w:val="00FB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E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DUMA-1</cp:lastModifiedBy>
  <cp:revision>2</cp:revision>
  <dcterms:created xsi:type="dcterms:W3CDTF">2021-10-21T08:26:00Z</dcterms:created>
  <dcterms:modified xsi:type="dcterms:W3CDTF">2021-10-21T08:26:00Z</dcterms:modified>
</cp:coreProperties>
</file>